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2C258" w14:textId="525BA94A" w:rsidR="00FC12F8" w:rsidRDefault="001B7A70" w:rsidP="000F7D83">
      <w:pPr>
        <w:pStyle w:val="NoSpacing"/>
        <w:rPr>
          <w:rFonts w:ascii="Times New Roman" w:eastAsia="Arial" w:hAnsi="Times New Roman" w:cs="Times New Roman"/>
          <w:sz w:val="22"/>
        </w:rPr>
      </w:pPr>
      <w:r w:rsidRPr="001B7A70">
        <w:rPr>
          <w:rFonts w:ascii="Times New Roman" w:eastAsia="Century" w:hAnsi="Times New Roman" w:cs="Times New Roman"/>
          <w:b/>
          <w:bCs/>
          <w:sz w:val="40"/>
          <w:szCs w:val="40"/>
        </w:rPr>
        <w:t>Capacity Needs Assessment of the GAD Focal Point System: Basis for Strengthening Capability Building Programs in Apayao State College</w:t>
      </w:r>
    </w:p>
    <w:p w14:paraId="0E41C176" w14:textId="77777777" w:rsidR="00FC12F8" w:rsidRDefault="00FC12F8" w:rsidP="000F7D83">
      <w:pPr>
        <w:pStyle w:val="NoSpacing"/>
        <w:rPr>
          <w:rFonts w:ascii="Times New Roman" w:eastAsia="Arial" w:hAnsi="Times New Roman" w:cs="Times New Roman"/>
          <w:sz w:val="22"/>
        </w:rPr>
      </w:pPr>
    </w:p>
    <w:p w14:paraId="1B55D12D" w14:textId="7D2412E5" w:rsidR="00E07CA7" w:rsidRDefault="00843E64" w:rsidP="00FC12F8">
      <w:pPr>
        <w:spacing w:after="0" w:line="240" w:lineRule="auto"/>
        <w:rPr>
          <w:rFonts w:ascii="Times New Roman" w:hAnsi="Times New Roman" w:cs="Times New Roman"/>
          <w:bCs/>
          <w:i/>
          <w:color w:val="4472C4" w:themeColor="accent1"/>
          <w:sz w:val="22"/>
          <w:szCs w:val="22"/>
        </w:rPr>
      </w:pPr>
      <w:r>
        <w:rPr>
          <w:rFonts w:ascii="Times New Roman" w:hAnsi="Times New Roman" w:cs="Times New Roman"/>
          <w:bCs/>
          <w:sz w:val="22"/>
          <w:szCs w:val="22"/>
        </w:rPr>
        <w:br/>
      </w:r>
      <w:r w:rsidR="00E07CA7" w:rsidRPr="00E07CA7">
        <w:rPr>
          <w:rFonts w:ascii="Times New Roman" w:hAnsi="Times New Roman" w:cs="Times New Roman"/>
          <w:bCs/>
          <w:sz w:val="22"/>
          <w:szCs w:val="22"/>
        </w:rPr>
        <w:t>Rey Carl V. Arimas</w:t>
      </w:r>
      <w:r w:rsidR="00E07CA7" w:rsidRPr="00E07CA7">
        <w:rPr>
          <w:rFonts w:ascii="Times New Roman" w:hAnsi="Times New Roman" w:cs="Times New Roman"/>
          <w:bCs/>
          <w:i/>
          <w:iCs/>
          <w:sz w:val="22"/>
          <w:szCs w:val="22"/>
          <w:vertAlign w:val="superscript"/>
        </w:rPr>
        <w:t xml:space="preserve"> </w:t>
      </w:r>
      <w:r w:rsidR="00FC12F8">
        <w:rPr>
          <w:rFonts w:ascii="Times New Roman" w:hAnsi="Times New Roman" w:cs="Times New Roman"/>
          <w:bCs/>
          <w:i/>
          <w:iCs/>
          <w:sz w:val="22"/>
          <w:szCs w:val="22"/>
        </w:rPr>
        <w:br/>
      </w:r>
      <w:r w:rsidR="00E07CA7" w:rsidRPr="00E07CA7">
        <w:rPr>
          <w:rFonts w:ascii="Times New Roman" w:hAnsi="Times New Roman" w:cs="Times New Roman"/>
          <w:bCs/>
          <w:i/>
          <w:sz w:val="22"/>
          <w:szCs w:val="22"/>
        </w:rPr>
        <w:t>Apayao State College, San Isidro Sur, Luna, Apayao, Philippines</w:t>
      </w:r>
    </w:p>
    <w:p w14:paraId="516AA02C" w14:textId="6787621C" w:rsidR="00E07CA7" w:rsidRPr="00E07CA7" w:rsidRDefault="00760789" w:rsidP="008D65D9">
      <w:pPr>
        <w:tabs>
          <w:tab w:val="left" w:pos="6310"/>
        </w:tabs>
        <w:spacing w:after="0" w:line="240" w:lineRule="auto"/>
        <w:rPr>
          <w:rFonts w:ascii="Times New Roman" w:hAnsi="Times New Roman" w:cs="Times New Roman"/>
          <w:bCs/>
          <w:i/>
          <w:iCs/>
          <w:color w:val="4472C4" w:themeColor="accent1"/>
          <w:sz w:val="22"/>
          <w:szCs w:val="22"/>
          <w:lang w:val="en-PH"/>
        </w:rPr>
      </w:pPr>
      <w:hyperlink r:id="rId8" w:history="1">
        <w:r w:rsidR="00E07CA7" w:rsidRPr="00E07CA7">
          <w:rPr>
            <w:rStyle w:val="Hyperlink"/>
            <w:rFonts w:ascii="Times New Roman" w:hAnsi="Times New Roman" w:cs="Times New Roman"/>
            <w:bCs/>
            <w:i/>
            <w:sz w:val="22"/>
            <w:szCs w:val="22"/>
            <w:u w:val="none"/>
          </w:rPr>
          <w:t xml:space="preserve">reycarlvarimas@gmail.com </w:t>
        </w:r>
      </w:hyperlink>
      <w:r w:rsidR="00E07CA7" w:rsidRPr="00E07CA7">
        <w:rPr>
          <w:rFonts w:ascii="Times New Roman" w:hAnsi="Times New Roman" w:cs="Times New Roman"/>
          <w:bCs/>
          <w:i/>
          <w:iCs/>
          <w:color w:val="4472C4" w:themeColor="accent1"/>
          <w:sz w:val="22"/>
          <w:szCs w:val="22"/>
          <w:lang w:val="en-PH"/>
        </w:rPr>
        <w:t xml:space="preserve">      </w:t>
      </w:r>
      <w:r w:rsidR="008D65D9">
        <w:rPr>
          <w:rFonts w:ascii="Times New Roman" w:hAnsi="Times New Roman" w:cs="Times New Roman"/>
          <w:bCs/>
          <w:i/>
          <w:iCs/>
          <w:color w:val="4472C4" w:themeColor="accent1"/>
          <w:sz w:val="22"/>
          <w:szCs w:val="22"/>
          <w:lang w:val="en-PH"/>
        </w:rPr>
        <w:tab/>
      </w:r>
      <w:bookmarkStart w:id="0" w:name="_GoBack"/>
      <w:bookmarkEnd w:id="0"/>
    </w:p>
    <w:p w14:paraId="63413501" w14:textId="77777777" w:rsidR="00277755" w:rsidRDefault="00277755" w:rsidP="00277755">
      <w:pPr>
        <w:pStyle w:val="NoSpacing"/>
        <w:rPr>
          <w:rFonts w:ascii="Times New Roman" w:hAnsi="Times New Roman" w:cs="Times New Roman"/>
          <w:b/>
          <w:bCs/>
          <w:caps/>
          <w:sz w:val="22"/>
          <w:szCs w:val="22"/>
          <w:lang w:val="en-PH"/>
        </w:rPr>
      </w:pPr>
      <w:r w:rsidRPr="008029E7">
        <w:rPr>
          <w:rFonts w:ascii="Times New Roman" w:hAnsi="Times New Roman" w:cs="Times New Roman"/>
          <w:noProof/>
          <w:sz w:val="22"/>
          <w:szCs w:val="22"/>
        </w:rPr>
        <mc:AlternateContent>
          <mc:Choice Requires="wps">
            <w:drawing>
              <wp:anchor distT="91440" distB="91440" distL="91440" distR="91440" simplePos="0" relativeHeight="251659264" behindDoc="0" locked="0" layoutInCell="1" allowOverlap="1" wp14:anchorId="272F4665" wp14:editId="62B4FDB5">
                <wp:simplePos x="0" y="0"/>
                <wp:positionH relativeFrom="column">
                  <wp:posOffset>9525</wp:posOffset>
                </wp:positionH>
                <wp:positionV relativeFrom="paragraph">
                  <wp:posOffset>209550</wp:posOffset>
                </wp:positionV>
                <wp:extent cx="2020570" cy="1876425"/>
                <wp:effectExtent l="0" t="0" r="1778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1876425"/>
                        </a:xfrm>
                        <a:prstGeom prst="rect">
                          <a:avLst/>
                        </a:prstGeom>
                        <a:solidFill>
                          <a:srgbClr val="FFFFFF"/>
                        </a:solidFill>
                        <a:ln w="3175">
                          <a:solidFill>
                            <a:srgbClr val="000000"/>
                          </a:solidFill>
                          <a:miter lim="800000"/>
                          <a:headEnd/>
                          <a:tailEnd/>
                        </a:ln>
                      </wps:spPr>
                      <wps:txbx>
                        <w:txbxContent>
                          <w:p w14:paraId="1681C280" w14:textId="77777777" w:rsidR="006070FD" w:rsidRPr="000F7D83" w:rsidRDefault="006070FD" w:rsidP="000F7D83">
                            <w:pPr>
                              <w:pStyle w:val="NoSpacing"/>
                              <w:rPr>
                                <w:rFonts w:ascii="Times New Roman" w:hAnsi="Times New Roman" w:cs="Times New Roman"/>
                                <w:sz w:val="22"/>
                                <w:szCs w:val="22"/>
                              </w:rPr>
                            </w:pPr>
                            <w:r w:rsidRPr="000F7D83">
                              <w:rPr>
                                <w:rFonts w:ascii="Times New Roman" w:hAnsi="Times New Roman" w:cs="Times New Roman"/>
                                <w:sz w:val="22"/>
                                <w:szCs w:val="22"/>
                              </w:rPr>
                              <w:t>Date Submitted:</w:t>
                            </w:r>
                          </w:p>
                          <w:p w14:paraId="0B0F5F34" w14:textId="460B97A1" w:rsidR="006070FD" w:rsidRPr="000F7D83" w:rsidRDefault="00937C98" w:rsidP="000F7D83">
                            <w:pPr>
                              <w:pStyle w:val="NoSpacing"/>
                              <w:rPr>
                                <w:rFonts w:ascii="Times New Roman" w:hAnsi="Times New Roman" w:cs="Times New Roman"/>
                                <w:b/>
                                <w:bCs/>
                                <w:sz w:val="22"/>
                                <w:szCs w:val="22"/>
                              </w:rPr>
                            </w:pPr>
                            <w:r>
                              <w:rPr>
                                <w:rFonts w:ascii="Times New Roman" w:hAnsi="Times New Roman" w:cs="Times New Roman"/>
                                <w:b/>
                                <w:bCs/>
                                <w:sz w:val="22"/>
                                <w:szCs w:val="22"/>
                              </w:rPr>
                              <w:t>March</w:t>
                            </w:r>
                            <w:r w:rsidR="006070FD">
                              <w:rPr>
                                <w:rFonts w:ascii="Times New Roman" w:hAnsi="Times New Roman" w:cs="Times New Roman"/>
                                <w:b/>
                                <w:bCs/>
                                <w:sz w:val="22"/>
                                <w:szCs w:val="22"/>
                              </w:rPr>
                              <w:t xml:space="preserve"> </w:t>
                            </w:r>
                            <w:r>
                              <w:rPr>
                                <w:rFonts w:ascii="Times New Roman" w:hAnsi="Times New Roman" w:cs="Times New Roman"/>
                                <w:b/>
                                <w:bCs/>
                                <w:sz w:val="22"/>
                                <w:szCs w:val="22"/>
                              </w:rPr>
                              <w:t>7</w:t>
                            </w:r>
                            <w:r w:rsidR="006070FD" w:rsidRPr="000F7D83">
                              <w:rPr>
                                <w:rFonts w:ascii="Times New Roman" w:hAnsi="Times New Roman" w:cs="Times New Roman"/>
                                <w:b/>
                                <w:bCs/>
                                <w:sz w:val="22"/>
                                <w:szCs w:val="22"/>
                              </w:rPr>
                              <w:t xml:space="preserve">, </w:t>
                            </w:r>
                            <w:r>
                              <w:rPr>
                                <w:rFonts w:ascii="Times New Roman" w:hAnsi="Times New Roman" w:cs="Times New Roman"/>
                                <w:b/>
                                <w:bCs/>
                                <w:sz w:val="22"/>
                                <w:szCs w:val="22"/>
                              </w:rPr>
                              <w:t>2</w:t>
                            </w:r>
                            <w:r w:rsidR="006070FD" w:rsidRPr="000F7D83">
                              <w:rPr>
                                <w:rFonts w:ascii="Times New Roman" w:hAnsi="Times New Roman" w:cs="Times New Roman"/>
                                <w:b/>
                                <w:bCs/>
                                <w:sz w:val="22"/>
                                <w:szCs w:val="22"/>
                              </w:rPr>
                              <w:t>026</w:t>
                            </w:r>
                            <w:r w:rsidR="006070FD" w:rsidRPr="000F7D83">
                              <w:rPr>
                                <w:rFonts w:ascii="Times New Roman" w:hAnsi="Times New Roman" w:cs="Times New Roman"/>
                                <w:b/>
                                <w:bCs/>
                                <w:sz w:val="22"/>
                                <w:szCs w:val="22"/>
                              </w:rPr>
                              <w:br/>
                            </w:r>
                          </w:p>
                          <w:p w14:paraId="67C3F1EE" w14:textId="77777777" w:rsidR="006070FD" w:rsidRPr="000F7D83" w:rsidRDefault="006070FD" w:rsidP="000F7D83">
                            <w:pPr>
                              <w:pStyle w:val="NoSpacing"/>
                              <w:rPr>
                                <w:rFonts w:ascii="Times New Roman" w:hAnsi="Times New Roman" w:cs="Times New Roman"/>
                                <w:sz w:val="22"/>
                                <w:szCs w:val="22"/>
                              </w:rPr>
                            </w:pPr>
                            <w:r w:rsidRPr="000F7D83">
                              <w:rPr>
                                <w:rFonts w:ascii="Times New Roman" w:hAnsi="Times New Roman" w:cs="Times New Roman"/>
                                <w:sz w:val="22"/>
                                <w:szCs w:val="22"/>
                              </w:rPr>
                              <w:t>Date Accepted:</w:t>
                            </w:r>
                          </w:p>
                          <w:p w14:paraId="63251F76" w14:textId="37974516" w:rsidR="006070FD" w:rsidRPr="000F7D83" w:rsidRDefault="00937C98" w:rsidP="000F7D83">
                            <w:pPr>
                              <w:pStyle w:val="NoSpacing"/>
                              <w:rPr>
                                <w:rFonts w:ascii="Times New Roman" w:hAnsi="Times New Roman" w:cs="Times New Roman"/>
                                <w:sz w:val="22"/>
                                <w:szCs w:val="22"/>
                              </w:rPr>
                            </w:pPr>
                            <w:r>
                              <w:rPr>
                                <w:rFonts w:ascii="Times New Roman" w:hAnsi="Times New Roman" w:cs="Times New Roman"/>
                                <w:b/>
                                <w:bCs/>
                                <w:sz w:val="22"/>
                                <w:szCs w:val="22"/>
                              </w:rPr>
                              <w:t>April</w:t>
                            </w:r>
                            <w:r w:rsidR="006070FD">
                              <w:rPr>
                                <w:rFonts w:ascii="Times New Roman" w:hAnsi="Times New Roman" w:cs="Times New Roman"/>
                                <w:b/>
                                <w:bCs/>
                                <w:sz w:val="22"/>
                                <w:szCs w:val="22"/>
                              </w:rPr>
                              <w:t xml:space="preserve"> 1</w:t>
                            </w:r>
                            <w:r>
                              <w:rPr>
                                <w:rFonts w:ascii="Times New Roman" w:hAnsi="Times New Roman" w:cs="Times New Roman"/>
                                <w:b/>
                                <w:bCs/>
                                <w:sz w:val="22"/>
                                <w:szCs w:val="22"/>
                              </w:rPr>
                              <w:t>3</w:t>
                            </w:r>
                            <w:r w:rsidR="006070FD" w:rsidRPr="000F7D83">
                              <w:rPr>
                                <w:rFonts w:ascii="Times New Roman" w:hAnsi="Times New Roman" w:cs="Times New Roman"/>
                                <w:b/>
                                <w:bCs/>
                                <w:sz w:val="22"/>
                                <w:szCs w:val="22"/>
                              </w:rPr>
                              <w:t>, 2026</w:t>
                            </w:r>
                            <w:r w:rsidR="006070FD" w:rsidRPr="000F7D83">
                              <w:rPr>
                                <w:rFonts w:ascii="Times New Roman" w:hAnsi="Times New Roman" w:cs="Times New Roman"/>
                                <w:sz w:val="22"/>
                                <w:szCs w:val="22"/>
                              </w:rPr>
                              <w:br/>
                            </w:r>
                            <w:r w:rsidR="006070FD" w:rsidRPr="000F7D83">
                              <w:rPr>
                                <w:rFonts w:ascii="Times New Roman" w:hAnsi="Times New Roman" w:cs="Times New Roman"/>
                                <w:sz w:val="22"/>
                                <w:szCs w:val="22"/>
                              </w:rPr>
                              <w:br/>
                              <w:t>Date Published:</w:t>
                            </w:r>
                          </w:p>
                          <w:p w14:paraId="2234D034" w14:textId="33F3F7D1" w:rsidR="006070FD" w:rsidRPr="000F7D83" w:rsidRDefault="008D65D9" w:rsidP="000F7D83">
                            <w:pPr>
                              <w:pStyle w:val="NoSpacing"/>
                              <w:rPr>
                                <w:rFonts w:ascii="Times New Roman" w:hAnsi="Times New Roman" w:cs="Times New Roman"/>
                                <w:b/>
                                <w:bCs/>
                                <w:sz w:val="22"/>
                                <w:szCs w:val="22"/>
                              </w:rPr>
                            </w:pPr>
                            <w:r>
                              <w:rPr>
                                <w:rFonts w:ascii="Times New Roman" w:hAnsi="Times New Roman" w:cs="Times New Roman"/>
                                <w:b/>
                                <w:bCs/>
                                <w:sz w:val="22"/>
                                <w:szCs w:val="22"/>
                              </w:rPr>
                              <w:t>May 21</w:t>
                            </w:r>
                            <w:r w:rsidR="006070FD" w:rsidRPr="000F7D83">
                              <w:rPr>
                                <w:rFonts w:ascii="Times New Roman" w:hAnsi="Times New Roman" w:cs="Times New Roman"/>
                                <w:b/>
                                <w:bCs/>
                                <w:sz w:val="22"/>
                                <w:szCs w:val="22"/>
                              </w:rPr>
                              <w:t>, 2026</w:t>
                            </w:r>
                          </w:p>
                          <w:p w14:paraId="5F2428AA" w14:textId="77777777" w:rsidR="006070FD" w:rsidRPr="000F7D83" w:rsidRDefault="006070FD" w:rsidP="000F7D83">
                            <w:pPr>
                              <w:pStyle w:val="NoSpacing"/>
                              <w:rPr>
                                <w:rFonts w:ascii="Times New Roman" w:hAnsi="Times New Roman" w:cs="Times New Roman"/>
                                <w:sz w:val="22"/>
                                <w:szCs w:val="22"/>
                              </w:rPr>
                            </w:pPr>
                          </w:p>
                          <w:p w14:paraId="0938F06E" w14:textId="77777777" w:rsidR="006070FD" w:rsidRPr="000F7D83" w:rsidRDefault="006070FD" w:rsidP="000F7D83">
                            <w:pPr>
                              <w:pStyle w:val="NoSpacing"/>
                              <w:rPr>
                                <w:rFonts w:ascii="Times New Roman" w:hAnsi="Times New Roman" w:cs="Times New Roman"/>
                                <w:sz w:val="22"/>
                                <w:szCs w:val="22"/>
                              </w:rPr>
                            </w:pPr>
                            <w:r w:rsidRPr="000F7D83">
                              <w:rPr>
                                <w:rFonts w:ascii="Times New Roman" w:hAnsi="Times New Roman" w:cs="Times New Roman"/>
                                <w:sz w:val="22"/>
                                <w:szCs w:val="22"/>
                              </w:rPr>
                              <w:t>DOI:</w:t>
                            </w:r>
                          </w:p>
                          <w:p w14:paraId="4A2018D3" w14:textId="77777777" w:rsidR="008D65D9" w:rsidRPr="008D65D9" w:rsidRDefault="008D65D9" w:rsidP="008D65D9">
                            <w:pPr>
                              <w:pStyle w:val="NoSpacing"/>
                              <w:rPr>
                                <w:rFonts w:ascii="Times New Roman" w:hAnsi="Times New Roman" w:cs="Times New Roman"/>
                                <w:b/>
                                <w:bCs/>
                                <w:sz w:val="22"/>
                                <w:szCs w:val="22"/>
                              </w:rPr>
                            </w:pPr>
                            <w:r w:rsidRPr="008D65D9">
                              <w:rPr>
                                <w:rFonts w:ascii="Times New Roman" w:hAnsi="Times New Roman" w:cs="Times New Roman"/>
                                <w:b/>
                                <w:bCs/>
                                <w:sz w:val="22"/>
                                <w:szCs w:val="22"/>
                              </w:rPr>
                              <w:t>10.5281/zenodo.20324782</w:t>
                            </w:r>
                          </w:p>
                          <w:p w14:paraId="61E36DD0" w14:textId="77777777" w:rsidR="006070FD" w:rsidRPr="008029E7" w:rsidRDefault="006070FD" w:rsidP="00277755">
                            <w:pPr>
                              <w:pStyle w:val="NoSpacing"/>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2F4665" id="_x0000_t202" coordsize="21600,21600" o:spt="202" path="m,l,21600r21600,l21600,xe">
                <v:stroke joinstyle="miter"/>
                <v:path gradientshapeok="t" o:connecttype="rect"/>
              </v:shapetype>
              <v:shape id="Text Box 2" o:spid="_x0000_s1026" type="#_x0000_t202" style="position:absolute;margin-left:.75pt;margin-top:16.5pt;width:159.1pt;height:147.75pt;z-index:251659264;visibility:visible;mso-wrap-style:square;mso-width-percent:0;mso-height-percent:0;mso-wrap-distance-left:7.2pt;mso-wrap-distance-top:7.2pt;mso-wrap-distance-right:7.2pt;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" strokeweight=".25pt">
                <v:textbox>
                  <w:txbxContent>
                    <w:p w14:paraId="1681C280" w14:textId="77777777" w:rsidR="006070FD" w:rsidRPr="000F7D83" w:rsidRDefault="006070FD" w:rsidP="000F7D83">
                      <w:pPr>
                        <w:pStyle w:val="NoSpacing"/>
                        <w:rPr>
                          <w:rFonts w:ascii="Times New Roman" w:hAnsi="Times New Roman" w:cs="Times New Roman"/>
                          <w:sz w:val="22"/>
                          <w:szCs w:val="22"/>
                        </w:rPr>
                      </w:pPr>
                      <w:r w:rsidRPr="000F7D83">
                        <w:rPr>
                          <w:rFonts w:ascii="Times New Roman" w:hAnsi="Times New Roman" w:cs="Times New Roman"/>
                          <w:sz w:val="22"/>
                          <w:szCs w:val="22"/>
                        </w:rPr>
                        <w:t>Date Submitted:</w:t>
                      </w:r>
                    </w:p>
                    <w:p w14:paraId="0B0F5F34" w14:textId="460B97A1" w:rsidR="006070FD" w:rsidRPr="000F7D83" w:rsidRDefault="00937C98" w:rsidP="000F7D83">
                      <w:pPr>
                        <w:pStyle w:val="NoSpacing"/>
                        <w:rPr>
                          <w:rFonts w:ascii="Times New Roman" w:hAnsi="Times New Roman" w:cs="Times New Roman"/>
                          <w:b/>
                          <w:bCs/>
                          <w:sz w:val="22"/>
                          <w:szCs w:val="22"/>
                        </w:rPr>
                      </w:pPr>
                      <w:r>
                        <w:rPr>
                          <w:rFonts w:ascii="Times New Roman" w:hAnsi="Times New Roman" w:cs="Times New Roman"/>
                          <w:b/>
                          <w:bCs/>
                          <w:sz w:val="22"/>
                          <w:szCs w:val="22"/>
                        </w:rPr>
                        <w:t>March</w:t>
                      </w:r>
                      <w:r w:rsidR="006070FD">
                        <w:rPr>
                          <w:rFonts w:ascii="Times New Roman" w:hAnsi="Times New Roman" w:cs="Times New Roman"/>
                          <w:b/>
                          <w:bCs/>
                          <w:sz w:val="22"/>
                          <w:szCs w:val="22"/>
                        </w:rPr>
                        <w:t xml:space="preserve"> </w:t>
                      </w:r>
                      <w:r>
                        <w:rPr>
                          <w:rFonts w:ascii="Times New Roman" w:hAnsi="Times New Roman" w:cs="Times New Roman"/>
                          <w:b/>
                          <w:bCs/>
                          <w:sz w:val="22"/>
                          <w:szCs w:val="22"/>
                        </w:rPr>
                        <w:t>7</w:t>
                      </w:r>
                      <w:r w:rsidR="006070FD" w:rsidRPr="000F7D83">
                        <w:rPr>
                          <w:rFonts w:ascii="Times New Roman" w:hAnsi="Times New Roman" w:cs="Times New Roman"/>
                          <w:b/>
                          <w:bCs/>
                          <w:sz w:val="22"/>
                          <w:szCs w:val="22"/>
                        </w:rPr>
                        <w:t xml:space="preserve">, </w:t>
                      </w:r>
                      <w:r>
                        <w:rPr>
                          <w:rFonts w:ascii="Times New Roman" w:hAnsi="Times New Roman" w:cs="Times New Roman"/>
                          <w:b/>
                          <w:bCs/>
                          <w:sz w:val="22"/>
                          <w:szCs w:val="22"/>
                        </w:rPr>
                        <w:t>2</w:t>
                      </w:r>
                      <w:r w:rsidR="006070FD" w:rsidRPr="000F7D83">
                        <w:rPr>
                          <w:rFonts w:ascii="Times New Roman" w:hAnsi="Times New Roman" w:cs="Times New Roman"/>
                          <w:b/>
                          <w:bCs/>
                          <w:sz w:val="22"/>
                          <w:szCs w:val="22"/>
                        </w:rPr>
                        <w:t>026</w:t>
                      </w:r>
                      <w:r w:rsidR="006070FD" w:rsidRPr="000F7D83">
                        <w:rPr>
                          <w:rFonts w:ascii="Times New Roman" w:hAnsi="Times New Roman" w:cs="Times New Roman"/>
                          <w:b/>
                          <w:bCs/>
                          <w:sz w:val="22"/>
                          <w:szCs w:val="22"/>
                        </w:rPr>
                        <w:br/>
                      </w:r>
                    </w:p>
                    <w:p w14:paraId="67C3F1EE" w14:textId="77777777" w:rsidR="006070FD" w:rsidRPr="000F7D83" w:rsidRDefault="006070FD" w:rsidP="000F7D83">
                      <w:pPr>
                        <w:pStyle w:val="NoSpacing"/>
                        <w:rPr>
                          <w:rFonts w:ascii="Times New Roman" w:hAnsi="Times New Roman" w:cs="Times New Roman"/>
                          <w:sz w:val="22"/>
                          <w:szCs w:val="22"/>
                        </w:rPr>
                      </w:pPr>
                      <w:r w:rsidRPr="000F7D83">
                        <w:rPr>
                          <w:rFonts w:ascii="Times New Roman" w:hAnsi="Times New Roman" w:cs="Times New Roman"/>
                          <w:sz w:val="22"/>
                          <w:szCs w:val="22"/>
                        </w:rPr>
                        <w:t>Date Accepted:</w:t>
                      </w:r>
                    </w:p>
                    <w:p w14:paraId="63251F76" w14:textId="37974516" w:rsidR="006070FD" w:rsidRPr="000F7D83" w:rsidRDefault="00937C98" w:rsidP="000F7D83">
                      <w:pPr>
                        <w:pStyle w:val="NoSpacing"/>
                        <w:rPr>
                          <w:rFonts w:ascii="Times New Roman" w:hAnsi="Times New Roman" w:cs="Times New Roman"/>
                          <w:sz w:val="22"/>
                          <w:szCs w:val="22"/>
                        </w:rPr>
                      </w:pPr>
                      <w:r>
                        <w:rPr>
                          <w:rFonts w:ascii="Times New Roman" w:hAnsi="Times New Roman" w:cs="Times New Roman"/>
                          <w:b/>
                          <w:bCs/>
                          <w:sz w:val="22"/>
                          <w:szCs w:val="22"/>
                        </w:rPr>
                        <w:t>April</w:t>
                      </w:r>
                      <w:r w:rsidR="006070FD">
                        <w:rPr>
                          <w:rFonts w:ascii="Times New Roman" w:hAnsi="Times New Roman" w:cs="Times New Roman"/>
                          <w:b/>
                          <w:bCs/>
                          <w:sz w:val="22"/>
                          <w:szCs w:val="22"/>
                        </w:rPr>
                        <w:t xml:space="preserve"> 1</w:t>
                      </w:r>
                      <w:r>
                        <w:rPr>
                          <w:rFonts w:ascii="Times New Roman" w:hAnsi="Times New Roman" w:cs="Times New Roman"/>
                          <w:b/>
                          <w:bCs/>
                          <w:sz w:val="22"/>
                          <w:szCs w:val="22"/>
                        </w:rPr>
                        <w:t>3</w:t>
                      </w:r>
                      <w:r w:rsidR="006070FD" w:rsidRPr="000F7D83">
                        <w:rPr>
                          <w:rFonts w:ascii="Times New Roman" w:hAnsi="Times New Roman" w:cs="Times New Roman"/>
                          <w:b/>
                          <w:bCs/>
                          <w:sz w:val="22"/>
                          <w:szCs w:val="22"/>
                        </w:rPr>
                        <w:t>, 2026</w:t>
                      </w:r>
                      <w:r w:rsidR="006070FD" w:rsidRPr="000F7D83">
                        <w:rPr>
                          <w:rFonts w:ascii="Times New Roman" w:hAnsi="Times New Roman" w:cs="Times New Roman"/>
                          <w:sz w:val="22"/>
                          <w:szCs w:val="22"/>
                        </w:rPr>
                        <w:br/>
                      </w:r>
                      <w:r w:rsidR="006070FD" w:rsidRPr="000F7D83">
                        <w:rPr>
                          <w:rFonts w:ascii="Times New Roman" w:hAnsi="Times New Roman" w:cs="Times New Roman"/>
                          <w:sz w:val="22"/>
                          <w:szCs w:val="22"/>
                        </w:rPr>
                        <w:br/>
                        <w:t>Date Published:</w:t>
                      </w:r>
                    </w:p>
                    <w:p w14:paraId="2234D034" w14:textId="33F3F7D1" w:rsidR="006070FD" w:rsidRPr="000F7D83" w:rsidRDefault="008D65D9" w:rsidP="000F7D83">
                      <w:pPr>
                        <w:pStyle w:val="NoSpacing"/>
                        <w:rPr>
                          <w:rFonts w:ascii="Times New Roman" w:hAnsi="Times New Roman" w:cs="Times New Roman"/>
                          <w:b/>
                          <w:bCs/>
                          <w:sz w:val="22"/>
                          <w:szCs w:val="22"/>
                        </w:rPr>
                      </w:pPr>
                      <w:r>
                        <w:rPr>
                          <w:rFonts w:ascii="Times New Roman" w:hAnsi="Times New Roman" w:cs="Times New Roman"/>
                          <w:b/>
                          <w:bCs/>
                          <w:sz w:val="22"/>
                          <w:szCs w:val="22"/>
                        </w:rPr>
                        <w:t>May 21</w:t>
                      </w:r>
                      <w:r w:rsidR="006070FD" w:rsidRPr="000F7D83">
                        <w:rPr>
                          <w:rFonts w:ascii="Times New Roman" w:hAnsi="Times New Roman" w:cs="Times New Roman"/>
                          <w:b/>
                          <w:bCs/>
                          <w:sz w:val="22"/>
                          <w:szCs w:val="22"/>
                        </w:rPr>
                        <w:t>, 2026</w:t>
                      </w:r>
                    </w:p>
                    <w:p w14:paraId="5F2428AA" w14:textId="77777777" w:rsidR="006070FD" w:rsidRPr="000F7D83" w:rsidRDefault="006070FD" w:rsidP="000F7D83">
                      <w:pPr>
                        <w:pStyle w:val="NoSpacing"/>
                        <w:rPr>
                          <w:rFonts w:ascii="Times New Roman" w:hAnsi="Times New Roman" w:cs="Times New Roman"/>
                          <w:sz w:val="22"/>
                          <w:szCs w:val="22"/>
                        </w:rPr>
                      </w:pPr>
                    </w:p>
                    <w:p w14:paraId="0938F06E" w14:textId="77777777" w:rsidR="006070FD" w:rsidRPr="000F7D83" w:rsidRDefault="006070FD" w:rsidP="000F7D83">
                      <w:pPr>
                        <w:pStyle w:val="NoSpacing"/>
                        <w:rPr>
                          <w:rFonts w:ascii="Times New Roman" w:hAnsi="Times New Roman" w:cs="Times New Roman"/>
                          <w:sz w:val="22"/>
                          <w:szCs w:val="22"/>
                        </w:rPr>
                      </w:pPr>
                      <w:r w:rsidRPr="000F7D83">
                        <w:rPr>
                          <w:rFonts w:ascii="Times New Roman" w:hAnsi="Times New Roman" w:cs="Times New Roman"/>
                          <w:sz w:val="22"/>
                          <w:szCs w:val="22"/>
                        </w:rPr>
                        <w:t>DOI:</w:t>
                      </w:r>
                    </w:p>
                    <w:p w14:paraId="4A2018D3" w14:textId="77777777" w:rsidR="008D65D9" w:rsidRPr="008D65D9" w:rsidRDefault="008D65D9" w:rsidP="008D65D9">
                      <w:pPr>
                        <w:pStyle w:val="NoSpacing"/>
                        <w:rPr>
                          <w:rFonts w:ascii="Times New Roman" w:hAnsi="Times New Roman" w:cs="Times New Roman"/>
                          <w:b/>
                          <w:bCs/>
                          <w:sz w:val="22"/>
                          <w:szCs w:val="22"/>
                        </w:rPr>
                      </w:pPr>
                      <w:r w:rsidRPr="008D65D9">
                        <w:rPr>
                          <w:rFonts w:ascii="Times New Roman" w:hAnsi="Times New Roman" w:cs="Times New Roman"/>
                          <w:b/>
                          <w:bCs/>
                          <w:sz w:val="22"/>
                          <w:szCs w:val="22"/>
                        </w:rPr>
                        <w:t>10.5281/zenodo.20324782</w:t>
                      </w:r>
                    </w:p>
                    <w:p w14:paraId="61E36DD0" w14:textId="77777777" w:rsidR="006070FD" w:rsidRPr="008029E7" w:rsidRDefault="006070FD" w:rsidP="00277755">
                      <w:pPr>
                        <w:pStyle w:val="NoSpacing"/>
                        <w:rPr>
                          <w:rFonts w:ascii="Times New Roman" w:hAnsi="Times New Roman" w:cs="Times New Roman"/>
                        </w:rPr>
                      </w:pPr>
                    </w:p>
                  </w:txbxContent>
                </v:textbox>
                <w10:wrap type="square"/>
              </v:shape>
            </w:pict>
          </mc:Fallback>
        </mc:AlternateContent>
      </w:r>
      <w:r w:rsidRPr="00177307">
        <w:rPr>
          <w:rFonts w:ascii="Times New Roman" w:hAnsi="Times New Roman" w:cs="Times New Roman"/>
          <w:b/>
          <w:bCs/>
          <w:caps/>
          <w:sz w:val="22"/>
          <w:szCs w:val="22"/>
          <w:lang w:val="en-PH"/>
        </w:rPr>
        <w:br/>
      </w:r>
      <w:r w:rsidRPr="00C15601">
        <w:rPr>
          <w:rFonts w:ascii="Times New Roman" w:hAnsi="Times New Roman" w:cs="Times New Roman"/>
          <w:b/>
          <w:bCs/>
          <w:caps/>
          <w:sz w:val="22"/>
          <w:szCs w:val="22"/>
          <w:lang w:val="en-PH"/>
        </w:rPr>
        <w:t>Abstract</w:t>
      </w:r>
    </w:p>
    <w:p w14:paraId="579B5D60" w14:textId="77777777" w:rsidR="00277755" w:rsidRPr="00AD36A7" w:rsidRDefault="00277755" w:rsidP="00277755">
      <w:pPr>
        <w:pStyle w:val="NoSpacing"/>
        <w:rPr>
          <w:rFonts w:ascii="Times New Roman" w:hAnsi="Times New Roman" w:cs="Times New Roman"/>
          <w:sz w:val="22"/>
          <w:szCs w:val="22"/>
        </w:rPr>
      </w:pPr>
    </w:p>
    <w:p w14:paraId="540502E2" w14:textId="48FEB8BB" w:rsidR="00E07CA7" w:rsidRPr="00E07CA7" w:rsidRDefault="00E07CA7" w:rsidP="00B5277D">
      <w:pPr>
        <w:spacing w:after="0" w:line="240" w:lineRule="auto"/>
        <w:jc w:val="both"/>
        <w:rPr>
          <w:rFonts w:ascii="Times New Roman" w:hAnsi="Times New Roman" w:cs="Times New Roman"/>
          <w:bCs/>
          <w:sz w:val="22"/>
          <w:szCs w:val="22"/>
          <w:lang w:val="en-PH"/>
        </w:rPr>
      </w:pPr>
      <w:bookmarkStart w:id="1" w:name="_Hlk220841887"/>
      <w:r w:rsidRPr="00E07CA7">
        <w:rPr>
          <w:rFonts w:ascii="Times New Roman" w:hAnsi="Times New Roman" w:cs="Times New Roman"/>
          <w:bCs/>
          <w:sz w:val="22"/>
          <w:szCs w:val="22"/>
          <w:lang w:val="en-PH"/>
        </w:rPr>
        <w:t xml:space="preserve">The </w:t>
      </w:r>
      <w:r w:rsidR="00843E64" w:rsidRPr="00E07CA7">
        <w:rPr>
          <w:rFonts w:ascii="Times New Roman" w:hAnsi="Times New Roman" w:cs="Times New Roman"/>
          <w:bCs/>
          <w:sz w:val="22"/>
          <w:szCs w:val="22"/>
          <w:lang w:val="en-PH"/>
        </w:rPr>
        <w:t>importance</w:t>
      </w:r>
      <w:r w:rsidRPr="00E07CA7">
        <w:rPr>
          <w:rFonts w:ascii="Times New Roman" w:hAnsi="Times New Roman" w:cs="Times New Roman"/>
          <w:bCs/>
          <w:sz w:val="22"/>
          <w:szCs w:val="22"/>
          <w:lang w:val="en-PH"/>
        </w:rPr>
        <w:t xml:space="preserve"> of this study is to identify the training needs of the fled GAD Focal Point System (GFPS) members at </w:t>
      </w:r>
      <w:r w:rsidR="00843E64">
        <w:rPr>
          <w:rFonts w:ascii="Times New Roman" w:hAnsi="Times New Roman" w:cs="Times New Roman"/>
          <w:bCs/>
          <w:sz w:val="22"/>
          <w:szCs w:val="22"/>
          <w:lang w:val="en-PH"/>
        </w:rPr>
        <w:t>A</w:t>
      </w:r>
      <w:r w:rsidRPr="00E07CA7">
        <w:rPr>
          <w:rFonts w:ascii="Times New Roman" w:hAnsi="Times New Roman" w:cs="Times New Roman"/>
          <w:bCs/>
          <w:sz w:val="22"/>
          <w:szCs w:val="22"/>
          <w:lang w:val="en-PH"/>
        </w:rPr>
        <w:t>payao State College to strengthen their knowledge on GAD concepts, policies, tools such. The study is conducted with an aim to identify specific areas that are in need of capacity building/training and support in relation to effective gender mainstreaming in educational institutions, which is an essential component of the GFPS.</w:t>
      </w:r>
      <w:r>
        <w:rPr>
          <w:rFonts w:ascii="Times New Roman" w:hAnsi="Times New Roman" w:cs="Times New Roman"/>
          <w:bCs/>
          <w:sz w:val="22"/>
          <w:szCs w:val="22"/>
          <w:lang w:val="en-PH"/>
        </w:rPr>
        <w:t xml:space="preserve"> </w:t>
      </w:r>
      <w:r w:rsidRPr="00E07CA7">
        <w:rPr>
          <w:rFonts w:ascii="Times New Roman" w:hAnsi="Times New Roman" w:cs="Times New Roman"/>
          <w:bCs/>
          <w:sz w:val="22"/>
          <w:szCs w:val="22"/>
          <w:lang w:val="en-PH"/>
        </w:rPr>
        <w:t>To achieve this, a descriptive research design was employed, utilizing a survey questionnaire distributed to 44 GFPS members through google form. The survey gathered information on their demographic profiles and their familiarity with various GAD-related topics. Through statistical analysis, the study revealed notable differences in familiarity levels based on factors such as gender, age, educational background, and years of service. Results showed that people with advanced degrees and more experience nailed down the GAD requirements much better. This highlights the need for tailored capacity-building programs that address the unique needs of GFPS members. The study recommends developing targeted training initiatives and establishing a GAD Resource Center to foster continuous learning and support gender equality efforts within the college.</w:t>
      </w:r>
    </w:p>
    <w:p w14:paraId="79048413" w14:textId="77777777" w:rsidR="00E07CA7" w:rsidRPr="00E07CA7" w:rsidRDefault="00FC12F8" w:rsidP="00E07CA7">
      <w:pPr>
        <w:spacing w:after="0"/>
        <w:jc w:val="both"/>
        <w:rPr>
          <w:rFonts w:ascii="Times New Roman" w:eastAsia="Arial" w:hAnsi="Times New Roman" w:cs="Times New Roman"/>
          <w:i/>
          <w:iCs/>
          <w:sz w:val="22"/>
        </w:rPr>
      </w:pPr>
      <w:r>
        <w:rPr>
          <w:rFonts w:ascii="Times New Roman" w:hAnsi="Times New Roman" w:cs="Times New Roman"/>
          <w:bCs/>
          <w:sz w:val="22"/>
          <w:szCs w:val="22"/>
          <w:lang w:val="en-PH"/>
        </w:rPr>
        <w:br/>
      </w:r>
      <w:r w:rsidR="0028603B" w:rsidRPr="0028603B">
        <w:rPr>
          <w:rFonts w:ascii="Times New Roman" w:eastAsia="Arial" w:hAnsi="Times New Roman" w:cs="Times New Roman"/>
          <w:b/>
          <w:bCs/>
          <w:sz w:val="22"/>
        </w:rPr>
        <w:t>Keywords:</w:t>
      </w:r>
      <w:r w:rsidR="0028603B" w:rsidRPr="0028603B">
        <w:rPr>
          <w:rFonts w:ascii="Times New Roman" w:eastAsia="Arial" w:hAnsi="Times New Roman" w:cs="Times New Roman"/>
          <w:sz w:val="22"/>
        </w:rPr>
        <w:t xml:space="preserve"> </w:t>
      </w:r>
      <w:bookmarkEnd w:id="1"/>
      <w:r w:rsidR="00E07CA7" w:rsidRPr="00E07CA7">
        <w:rPr>
          <w:rFonts w:ascii="Times New Roman" w:eastAsia="Arial" w:hAnsi="Times New Roman" w:cs="Times New Roman"/>
          <w:i/>
          <w:iCs/>
          <w:sz w:val="22"/>
        </w:rPr>
        <w:t>gender and development, training needs assessment, capacity building, gender mainstreaming</w:t>
      </w:r>
    </w:p>
    <w:p w14:paraId="18965D84" w14:textId="6F01AE08" w:rsidR="00A447F8" w:rsidRPr="00A721AF" w:rsidRDefault="00A721AF" w:rsidP="00E07CA7">
      <w:pPr>
        <w:spacing w:after="0"/>
        <w:jc w:val="both"/>
        <w:rPr>
          <w:rFonts w:ascii="Times New Roman" w:hAnsi="Times New Roman" w:cs="Times New Roman"/>
          <w:bCs/>
          <w:sz w:val="22"/>
          <w:szCs w:val="22"/>
          <w:lang w:val="en-PH"/>
        </w:rPr>
      </w:pPr>
      <w:r>
        <w:rPr>
          <w:rFonts w:ascii="Times New Roman" w:eastAsia="Arial" w:hAnsi="Times New Roman" w:cs="Times New Roman"/>
          <w:i/>
          <w:iCs/>
          <w:sz w:val="22"/>
        </w:rPr>
        <w:br/>
      </w:r>
      <w:r w:rsidR="00A447F8" w:rsidRPr="00A447F8">
        <w:rPr>
          <w:rFonts w:ascii="Times New Roman" w:hAnsi="Times New Roman" w:cs="Times New Roman"/>
          <w:b/>
          <w:bCs/>
          <w:sz w:val="22"/>
          <w:szCs w:val="22"/>
        </w:rPr>
        <w:t>INTRODUCTION</w:t>
      </w:r>
    </w:p>
    <w:p w14:paraId="666F8DF2" w14:textId="7FBEA360"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Gender and Development</w:t>
      </w:r>
      <w:r w:rsidRPr="006070FD">
        <w:rPr>
          <w:rFonts w:ascii="Times New Roman" w:eastAsia="SimSun" w:hAnsi="Times New Roman" w:cs="Times New Roman"/>
          <w:kern w:val="0"/>
          <w:sz w:val="22"/>
          <w:szCs w:val="22"/>
          <w14:ligatures w14:val="none"/>
        </w:rPr>
        <w:t xml:space="preserve"> (GAD)</w:t>
      </w:r>
      <w:r w:rsidRPr="006070FD">
        <w:rPr>
          <w:rFonts w:ascii="Times New Roman" w:eastAsia="SimSun" w:hAnsi="Times New Roman" w:cs="Times New Roman"/>
          <w:kern w:val="0"/>
          <w:sz w:val="22"/>
          <w:szCs w:val="22"/>
          <w:lang w:val="en-PH"/>
          <w14:ligatures w14:val="none"/>
        </w:rPr>
        <w:t xml:space="preserve"> is a development approach that recognizes and seeks to address the systemic inequalities between individuals of different genders across all areas of society, including policymaking, education, governance, and development planning. It emphasizes the roles, responsibilities, and opportunities available to individuals based on their gender and aims to ensure equal access to resources, opportunities, and decision-making power for all (Philippine Commission on Women [PCW], 2016).</w:t>
      </w:r>
      <w:r w:rsidR="00843E64">
        <w:rPr>
          <w:rFonts w:ascii="Times New Roman" w:eastAsia="SimSun" w:hAnsi="Times New Roman" w:cs="Times New Roman"/>
          <w:kern w:val="0"/>
          <w:sz w:val="22"/>
          <w:szCs w:val="22"/>
          <w:lang w:val="en-PH"/>
          <w14:ligatures w14:val="none"/>
        </w:rPr>
        <w:t xml:space="preserve"> </w:t>
      </w:r>
      <w:r w:rsidRPr="006070FD">
        <w:rPr>
          <w:rFonts w:ascii="Times New Roman" w:eastAsia="SimSun" w:hAnsi="Times New Roman" w:cs="Times New Roman"/>
          <w:kern w:val="0"/>
          <w:sz w:val="22"/>
          <w:szCs w:val="22"/>
          <w:lang w:val="en-PH"/>
          <w14:ligatures w14:val="none"/>
        </w:rPr>
        <w:t>In the Philippine context, GAD plays a</w:t>
      </w:r>
      <w:r w:rsidRPr="006070FD">
        <w:rPr>
          <w:rFonts w:ascii="Times New Roman" w:eastAsia="SimSun" w:hAnsi="Times New Roman" w:cs="Times New Roman"/>
          <w:kern w:val="0"/>
          <w:sz w:val="22"/>
          <w:szCs w:val="22"/>
          <w14:ligatures w14:val="none"/>
        </w:rPr>
        <w:t>n</w:t>
      </w:r>
      <w:r w:rsidRPr="006070FD">
        <w:rPr>
          <w:rFonts w:ascii="Times New Roman" w:eastAsia="SimSun" w:hAnsi="Times New Roman" w:cs="Times New Roman"/>
          <w:kern w:val="0"/>
          <w:sz w:val="22"/>
          <w:szCs w:val="22"/>
          <w:lang w:val="en-PH"/>
          <w14:ligatures w14:val="none"/>
        </w:rPr>
        <w:t xml:space="preserve"> important role in building inclusive and equitable institutions. Government agencies, local government units, and educational institutions</w:t>
      </w:r>
      <w:r w:rsidRPr="006070FD">
        <w:rPr>
          <w:rFonts w:ascii="Times New Roman" w:eastAsia="SimSun" w:hAnsi="Times New Roman" w:cs="Times New Roman"/>
          <w:kern w:val="0"/>
          <w:sz w:val="22"/>
          <w:szCs w:val="22"/>
          <w14:ligatures w14:val="none"/>
        </w:rPr>
        <w:t xml:space="preserve"> like State Universities and Colleges (SUCs)</w:t>
      </w:r>
      <w:r w:rsidRPr="006070FD">
        <w:rPr>
          <w:rFonts w:ascii="Times New Roman" w:eastAsia="SimSun" w:hAnsi="Times New Roman" w:cs="Times New Roman"/>
          <w:kern w:val="0"/>
          <w:sz w:val="22"/>
          <w:szCs w:val="22"/>
          <w:lang w:val="en-PH"/>
          <w14:ligatures w14:val="none"/>
        </w:rPr>
        <w:t xml:space="preserve"> are mandated to integrate gender perspectives into their programs and operations through gender mainstreaming. This process ensures that the specific needs of all genders, especially women and marginalized groups, are addressed to promote sustainable and inclusive development (PCW, 2021).</w:t>
      </w:r>
    </w:p>
    <w:p w14:paraId="60A55DA5"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14:ligatures w14:val="none"/>
        </w:rPr>
        <w:t>In g</w:t>
      </w:r>
      <w:r w:rsidRPr="006070FD">
        <w:rPr>
          <w:rFonts w:ascii="Times New Roman" w:eastAsia="SimSun" w:hAnsi="Times New Roman" w:cs="Times New Roman"/>
          <w:kern w:val="0"/>
          <w:sz w:val="22"/>
          <w:szCs w:val="22"/>
          <w:lang w:val="en-PH"/>
          <w14:ligatures w14:val="none"/>
        </w:rPr>
        <w:t>lobal and national</w:t>
      </w:r>
      <w:r w:rsidRPr="006070FD">
        <w:rPr>
          <w:rFonts w:ascii="Times New Roman" w:eastAsia="SimSun" w:hAnsi="Times New Roman" w:cs="Times New Roman"/>
          <w:kern w:val="0"/>
          <w:sz w:val="22"/>
          <w:szCs w:val="22"/>
          <w14:ligatures w14:val="none"/>
        </w:rPr>
        <w:t xml:space="preserve"> perspectives</w:t>
      </w:r>
      <w:r w:rsidRPr="006070FD">
        <w:rPr>
          <w:rFonts w:ascii="Times New Roman" w:eastAsia="SimSun" w:hAnsi="Times New Roman" w:cs="Times New Roman"/>
          <w:kern w:val="0"/>
          <w:sz w:val="22"/>
          <w:szCs w:val="22"/>
          <w:lang w:val="en-PH"/>
          <w14:ligatures w14:val="none"/>
        </w:rPr>
        <w:t xml:space="preserve">, gender equality is reinforced by key legal and policy frameworks. One of the most significant international instruments is the </w:t>
      </w:r>
      <w:r w:rsidRPr="006070FD">
        <w:rPr>
          <w:rFonts w:ascii="Times New Roman" w:eastAsia="SimSun" w:hAnsi="Times New Roman" w:cs="Times New Roman"/>
          <w:i/>
          <w:iCs/>
          <w:kern w:val="0"/>
          <w:sz w:val="22"/>
          <w:szCs w:val="22"/>
          <w:lang w:val="en-PH"/>
          <w14:ligatures w14:val="none"/>
        </w:rPr>
        <w:t xml:space="preserve">Convention on the Elimination of All Forms of </w:t>
      </w:r>
      <w:r w:rsidRPr="006070FD">
        <w:rPr>
          <w:rFonts w:ascii="Times New Roman" w:eastAsia="SimSun" w:hAnsi="Times New Roman" w:cs="Times New Roman"/>
          <w:i/>
          <w:iCs/>
          <w:kern w:val="0"/>
          <w:sz w:val="22"/>
          <w:szCs w:val="22"/>
          <w:lang w:val="en-PH"/>
          <w14:ligatures w14:val="none"/>
        </w:rPr>
        <w:lastRenderedPageBreak/>
        <w:t>Discrimination Against Women</w:t>
      </w:r>
      <w:r w:rsidRPr="006070FD">
        <w:rPr>
          <w:rFonts w:ascii="Times New Roman" w:eastAsia="SimSun" w:hAnsi="Times New Roman" w:cs="Times New Roman"/>
          <w:kern w:val="0"/>
          <w:sz w:val="22"/>
          <w:szCs w:val="22"/>
          <w:lang w:val="en-PH"/>
          <w14:ligatures w14:val="none"/>
        </w:rPr>
        <w:t xml:space="preserve"> (CEDAW), which obligates member states to eliminate discrimination against women and promote gender equity (United Nations Women, 2015). At the national level, the </w:t>
      </w:r>
      <w:r w:rsidRPr="006070FD">
        <w:rPr>
          <w:rFonts w:ascii="Times New Roman" w:eastAsia="SimSun" w:hAnsi="Times New Roman" w:cs="Times New Roman"/>
          <w:i/>
          <w:iCs/>
          <w:kern w:val="0"/>
          <w:sz w:val="22"/>
          <w:szCs w:val="22"/>
          <w:lang w:val="en-PH"/>
          <w14:ligatures w14:val="none"/>
        </w:rPr>
        <w:t>Magna Carta of Women</w:t>
      </w:r>
      <w:r w:rsidRPr="006070FD">
        <w:rPr>
          <w:rFonts w:ascii="Times New Roman" w:eastAsia="SimSun" w:hAnsi="Times New Roman" w:cs="Times New Roman"/>
          <w:kern w:val="0"/>
          <w:sz w:val="22"/>
          <w:szCs w:val="22"/>
          <w:lang w:val="en-PH"/>
          <w14:ligatures w14:val="none"/>
        </w:rPr>
        <w:t xml:space="preserve"> (Republic Act No. 9710) provides a comprehensive legal framework to uphold women’s rights and mandates all government institutions to implement gender-responsive policies (PCW, 2021). Complementing this law is the </w:t>
      </w:r>
      <w:r w:rsidRPr="006070FD">
        <w:rPr>
          <w:rFonts w:ascii="Times New Roman" w:eastAsia="SimSun" w:hAnsi="Times New Roman" w:cs="Times New Roman"/>
          <w:i/>
          <w:iCs/>
          <w:kern w:val="0"/>
          <w:sz w:val="22"/>
          <w:szCs w:val="22"/>
          <w:lang w:val="en-PH"/>
          <w14:ligatures w14:val="none"/>
        </w:rPr>
        <w:t>Women in Development and Nation Building Act</w:t>
      </w:r>
      <w:r w:rsidRPr="006070FD">
        <w:rPr>
          <w:rFonts w:ascii="Times New Roman" w:eastAsia="SimSun" w:hAnsi="Times New Roman" w:cs="Times New Roman"/>
          <w:kern w:val="0"/>
          <w:sz w:val="22"/>
          <w:szCs w:val="22"/>
          <w:lang w:val="en-PH"/>
          <w14:ligatures w14:val="none"/>
        </w:rPr>
        <w:t xml:space="preserve"> (Republic Act No. 7192), which promotes the equal participation of women in all aspects of development (Congress of the Philippines, 1992). Additionally, the Gender and Development Code and the establishment of the Gender and Development Focal Point System (GFPS) serve as mechanisms to institutionalize gender mainstreaming efforts within public institutions (PCW, 2016).</w:t>
      </w:r>
    </w:p>
    <w:p w14:paraId="43066FE3"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Despite the establishment of the GFPS in various institutions, including higher education, many GFPS members continue to face challenges in effectively carrying out their mandates due to limited technical knowledge and uneven implementation of gender mainstreaming. While they may be familiar with basic concepts such as sex, gender, and gender discrimination, there is insufficient understanding of essential gender-related laws and tools. These include national laws such as the </w:t>
      </w:r>
      <w:r w:rsidRPr="006070FD">
        <w:rPr>
          <w:rFonts w:ascii="Times New Roman" w:eastAsia="SimSun" w:hAnsi="Times New Roman" w:cs="Times New Roman"/>
          <w:i/>
          <w:iCs/>
          <w:kern w:val="0"/>
          <w:sz w:val="22"/>
          <w:szCs w:val="22"/>
          <w:lang w:val="en-PH"/>
          <w14:ligatures w14:val="none"/>
        </w:rPr>
        <w:t>Magna Carta of Women</w:t>
      </w:r>
      <w:r w:rsidRPr="006070FD">
        <w:rPr>
          <w:rFonts w:ascii="Times New Roman" w:eastAsia="SimSun" w:hAnsi="Times New Roman" w:cs="Times New Roman"/>
          <w:kern w:val="0"/>
          <w:sz w:val="22"/>
          <w:szCs w:val="22"/>
          <w:lang w:val="en-PH"/>
          <w14:ligatures w14:val="none"/>
        </w:rPr>
        <w:t xml:space="preserve"> and the </w:t>
      </w:r>
      <w:r w:rsidRPr="006070FD">
        <w:rPr>
          <w:rFonts w:ascii="Times New Roman" w:eastAsia="SimSun" w:hAnsi="Times New Roman" w:cs="Times New Roman"/>
          <w:i/>
          <w:iCs/>
          <w:kern w:val="0"/>
          <w:sz w:val="22"/>
          <w:szCs w:val="22"/>
          <w:lang w:val="en-PH"/>
          <w14:ligatures w14:val="none"/>
        </w:rPr>
        <w:t>Safe Spaces Act</w:t>
      </w:r>
      <w:r w:rsidRPr="006070FD">
        <w:rPr>
          <w:rFonts w:ascii="Times New Roman" w:eastAsia="SimSun" w:hAnsi="Times New Roman" w:cs="Times New Roman"/>
          <w:kern w:val="0"/>
          <w:sz w:val="22"/>
          <w:szCs w:val="22"/>
          <w:lang w:val="en-PH"/>
          <w14:ligatures w14:val="none"/>
        </w:rPr>
        <w:t xml:space="preserve"> (Republic Act No. 11313), and international commitments like CEDAW (PCW, 2021; United Nations Women, 2015). Moreover, the use of critical gender tools—such as the </w:t>
      </w:r>
      <w:r w:rsidRPr="006070FD">
        <w:rPr>
          <w:rFonts w:ascii="Times New Roman" w:eastAsia="SimSun" w:hAnsi="Times New Roman" w:cs="Times New Roman"/>
          <w:i/>
          <w:iCs/>
          <w:kern w:val="0"/>
          <w:sz w:val="22"/>
          <w:szCs w:val="22"/>
          <w:lang w:val="en-PH"/>
          <w14:ligatures w14:val="none"/>
        </w:rPr>
        <w:t>Harmonized Gender and Development Guidelines</w:t>
      </w:r>
      <w:r w:rsidRPr="006070FD">
        <w:rPr>
          <w:rFonts w:ascii="Times New Roman" w:eastAsia="SimSun" w:hAnsi="Times New Roman" w:cs="Times New Roman"/>
          <w:kern w:val="0"/>
          <w:sz w:val="22"/>
          <w:szCs w:val="22"/>
          <w:lang w:val="en-PH"/>
          <w14:ligatures w14:val="none"/>
        </w:rPr>
        <w:t xml:space="preserve"> (HGDG), </w:t>
      </w:r>
      <w:r w:rsidRPr="006070FD">
        <w:rPr>
          <w:rFonts w:ascii="Times New Roman" w:eastAsia="SimSun" w:hAnsi="Times New Roman" w:cs="Times New Roman"/>
          <w:i/>
          <w:iCs/>
          <w:kern w:val="0"/>
          <w:sz w:val="22"/>
          <w:szCs w:val="22"/>
          <w:lang w:val="en-PH"/>
          <w14:ligatures w14:val="none"/>
        </w:rPr>
        <w:t>Gender Mainstreaming Evaluation Framework</w:t>
      </w:r>
      <w:r w:rsidRPr="006070FD">
        <w:rPr>
          <w:rFonts w:ascii="Times New Roman" w:eastAsia="SimSun" w:hAnsi="Times New Roman" w:cs="Times New Roman"/>
          <w:kern w:val="0"/>
          <w:sz w:val="22"/>
          <w:szCs w:val="22"/>
          <w:lang w:val="en-PH"/>
          <w14:ligatures w14:val="none"/>
        </w:rPr>
        <w:t xml:space="preserve"> (GMEF), and </w:t>
      </w:r>
      <w:r w:rsidRPr="006070FD">
        <w:rPr>
          <w:rFonts w:ascii="Times New Roman" w:eastAsia="SimSun" w:hAnsi="Times New Roman" w:cs="Times New Roman"/>
          <w:i/>
          <w:iCs/>
          <w:kern w:val="0"/>
          <w:sz w:val="22"/>
          <w:szCs w:val="22"/>
          <w:lang w:val="en-PH"/>
          <w14:ligatures w14:val="none"/>
        </w:rPr>
        <w:t>Gender Gap Analysis Tool</w:t>
      </w:r>
      <w:r w:rsidRPr="006070FD">
        <w:rPr>
          <w:rFonts w:ascii="Times New Roman" w:eastAsia="SimSun" w:hAnsi="Times New Roman" w:cs="Times New Roman"/>
          <w:kern w:val="0"/>
          <w:sz w:val="22"/>
          <w:szCs w:val="22"/>
          <w:lang w:val="en-PH"/>
          <w14:ligatures w14:val="none"/>
        </w:rPr>
        <w:t>—is limited, hindering the full implementation of gender mainstreaming initiatives (PCW &amp; National Economic and Development Authority, 2012).</w:t>
      </w:r>
    </w:p>
    <w:p w14:paraId="68FF3559"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14:ligatures w14:val="none"/>
        </w:rPr>
        <w:t xml:space="preserve">In </w:t>
      </w:r>
      <w:r w:rsidRPr="006070FD">
        <w:rPr>
          <w:rFonts w:ascii="Times New Roman" w:eastAsia="SimSun" w:hAnsi="Times New Roman" w:cs="Times New Roman"/>
          <w:kern w:val="0"/>
          <w:sz w:val="22"/>
          <w:szCs w:val="22"/>
          <w:lang w:val="en-PH"/>
          <w14:ligatures w14:val="none"/>
        </w:rPr>
        <w:t xml:space="preserve">Apayao State College (ASC), the GFPS plays a </w:t>
      </w:r>
      <w:r w:rsidRPr="006070FD">
        <w:rPr>
          <w:rFonts w:ascii="Times New Roman" w:eastAsia="SimSun" w:hAnsi="Times New Roman" w:cs="Times New Roman"/>
          <w:kern w:val="0"/>
          <w:sz w:val="22"/>
          <w:szCs w:val="22"/>
          <w14:ligatures w14:val="none"/>
        </w:rPr>
        <w:t>significant</w:t>
      </w:r>
      <w:r w:rsidRPr="006070FD">
        <w:rPr>
          <w:rFonts w:ascii="Times New Roman" w:eastAsia="SimSun" w:hAnsi="Times New Roman" w:cs="Times New Roman"/>
          <w:kern w:val="0"/>
          <w:sz w:val="22"/>
          <w:szCs w:val="22"/>
          <w:lang w:val="en-PH"/>
          <w14:ligatures w14:val="none"/>
        </w:rPr>
        <w:t xml:space="preserve"> role in leading gender mainstreaming efforts by developing, implementing, and monitoring gender-responsive programs and policies. While progress has been made, recent assessments reveal that the GFPS at ASC still requires further capacity development. According to the GMEF results, ASC is currently at Level 2, described as the </w:t>
      </w:r>
      <w:r w:rsidRPr="006070FD">
        <w:rPr>
          <w:rFonts w:ascii="Times New Roman" w:eastAsia="SimSun" w:hAnsi="Times New Roman" w:cs="Times New Roman"/>
          <w:i/>
          <w:iCs/>
          <w:kern w:val="0"/>
          <w:sz w:val="22"/>
          <w:szCs w:val="22"/>
          <w:lang w:val="en-PH"/>
          <w14:ligatures w14:val="none"/>
        </w:rPr>
        <w:t>“Installation of Strategic Mechanisms.”</w:t>
      </w:r>
      <w:r w:rsidRPr="006070FD">
        <w:rPr>
          <w:rFonts w:ascii="Times New Roman" w:eastAsia="SimSun" w:hAnsi="Times New Roman" w:cs="Times New Roman"/>
          <w:kern w:val="0"/>
          <w:sz w:val="22"/>
          <w:szCs w:val="22"/>
          <w:lang w:val="en-PH"/>
          <w14:ligatures w14:val="none"/>
        </w:rPr>
        <w:t xml:space="preserve"> This stage indicates that while the basic structures and mechanisms for gender mainstreaming exist, they are not yet fully functional or maximized (Apayao State College, 2024). </w:t>
      </w:r>
      <w:r w:rsidRPr="006070FD">
        <w:rPr>
          <w:rFonts w:ascii="Times New Roman" w:eastAsia="SimSun" w:hAnsi="Times New Roman" w:cs="Times New Roman"/>
          <w:kern w:val="0"/>
          <w:sz w:val="22"/>
          <w:szCs w:val="22"/>
          <w14:ligatures w14:val="none"/>
        </w:rPr>
        <w:t>Also</w:t>
      </w:r>
      <w:r w:rsidRPr="006070FD">
        <w:rPr>
          <w:rFonts w:ascii="Times New Roman" w:eastAsia="SimSun" w:hAnsi="Times New Roman" w:cs="Times New Roman"/>
          <w:kern w:val="0"/>
          <w:sz w:val="22"/>
          <w:szCs w:val="22"/>
          <w:lang w:val="en-PH"/>
          <w14:ligatures w14:val="none"/>
        </w:rPr>
        <w:t>, a GFPS Functionality Assessment conducted internally showed noticeable gaps in knowledge, skills, and attitudes among GFPS members, underscoring the need for targeted capacity-building interventions.</w:t>
      </w:r>
    </w:p>
    <w:p w14:paraId="21AE8807" w14:textId="661DD46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14:ligatures w14:val="none"/>
        </w:rPr>
        <w:t>Furthermore, t</w:t>
      </w:r>
      <w:r w:rsidRPr="006070FD">
        <w:rPr>
          <w:rFonts w:ascii="Times New Roman" w:eastAsia="SimSun" w:hAnsi="Times New Roman" w:cs="Times New Roman"/>
          <w:kern w:val="0"/>
          <w:sz w:val="22"/>
          <w:szCs w:val="22"/>
          <w:lang w:val="en-PH"/>
          <w14:ligatures w14:val="none"/>
        </w:rPr>
        <w:t xml:space="preserve">his study </w:t>
      </w:r>
      <w:r w:rsidR="00843E64" w:rsidRPr="006070FD">
        <w:rPr>
          <w:rFonts w:ascii="Times New Roman" w:eastAsia="SimSun" w:hAnsi="Times New Roman" w:cs="Times New Roman"/>
          <w:kern w:val="0"/>
          <w:sz w:val="22"/>
          <w:szCs w:val="22"/>
          <w14:ligatures w14:val="none"/>
        </w:rPr>
        <w:t>determines</w:t>
      </w:r>
      <w:r w:rsidRPr="006070FD">
        <w:rPr>
          <w:rFonts w:ascii="Times New Roman" w:eastAsia="SimSun" w:hAnsi="Times New Roman" w:cs="Times New Roman"/>
          <w:kern w:val="0"/>
          <w:sz w:val="22"/>
          <w:szCs w:val="22"/>
          <w14:ligatures w14:val="none"/>
        </w:rPr>
        <w:t xml:space="preserve"> </w:t>
      </w:r>
      <w:r w:rsidRPr="006070FD">
        <w:rPr>
          <w:rFonts w:ascii="Times New Roman" w:eastAsia="SimSun" w:hAnsi="Times New Roman" w:cs="Times New Roman"/>
          <w:kern w:val="0"/>
          <w:sz w:val="22"/>
          <w:szCs w:val="22"/>
          <w:lang w:val="en-PH"/>
          <w14:ligatures w14:val="none"/>
        </w:rPr>
        <w:t xml:space="preserve">capacity gaps, which directly impact the GFPS’s ability to fully implement gender mainstreaming within </w:t>
      </w:r>
      <w:r w:rsidRPr="006070FD">
        <w:rPr>
          <w:rFonts w:ascii="Times New Roman" w:eastAsia="SimSun" w:hAnsi="Times New Roman" w:cs="Times New Roman"/>
          <w:kern w:val="0"/>
          <w:sz w:val="22"/>
          <w:szCs w:val="22"/>
          <w14:ligatures w14:val="none"/>
        </w:rPr>
        <w:t>the college</w:t>
      </w:r>
      <w:r w:rsidRPr="006070FD">
        <w:rPr>
          <w:rFonts w:ascii="Times New Roman" w:eastAsia="SimSun" w:hAnsi="Times New Roman" w:cs="Times New Roman"/>
          <w:kern w:val="0"/>
          <w:sz w:val="22"/>
          <w:szCs w:val="22"/>
          <w:lang w:val="en-PH"/>
          <w14:ligatures w14:val="none"/>
        </w:rPr>
        <w:t>. Effective gender mainstreaming requires members to be equipped with adequate knowledge of GAD concepts, mandates, and tools. Without this, GFPS efforts may fall short of creating a gender-inclusive and responsive institutional environment. Thus, this research aims to assess the current level of knowledge and familiarity of GFPS members with GAD-related content and tools. Through a comprehensive needs assessment, the study will support the development of a customized capacity-building program to address the specific needs of GFPS members. The results will also guide future training programs, strengthen gender initiatives, and contribute to more effective GAD integration in institutional planning and budgeting</w:t>
      </w:r>
      <w:r w:rsidRPr="006070FD">
        <w:rPr>
          <w:rFonts w:ascii="Times New Roman" w:eastAsia="SimSun" w:hAnsi="Times New Roman" w:cs="Times New Roman"/>
          <w:kern w:val="0"/>
          <w:sz w:val="22"/>
          <w:szCs w:val="22"/>
          <w14:ligatures w14:val="none"/>
        </w:rPr>
        <w:t xml:space="preserve"> </w:t>
      </w:r>
      <w:r w:rsidRPr="006070FD">
        <w:rPr>
          <w:rFonts w:ascii="Times New Roman" w:eastAsia="SimSun" w:hAnsi="Times New Roman" w:cs="Times New Roman"/>
          <w:kern w:val="0"/>
          <w:sz w:val="22"/>
          <w:szCs w:val="22"/>
          <w:lang w:val="en-PH"/>
          <w14:ligatures w14:val="none"/>
        </w:rPr>
        <w:t>within Apayao State College.</w:t>
      </w:r>
    </w:p>
    <w:p w14:paraId="3FA52F36" w14:textId="77777777" w:rsidR="006070FD" w:rsidRPr="006070FD" w:rsidRDefault="006070FD" w:rsidP="006070FD">
      <w:pPr>
        <w:widowControl w:val="0"/>
        <w:spacing w:before="43" w:after="0" w:line="240" w:lineRule="auto"/>
        <w:jc w:val="both"/>
        <w:rPr>
          <w:rFonts w:ascii="Times New Roman" w:eastAsia="Cambria" w:hAnsi="Times New Roman" w:cs="Times New Roman"/>
          <w:b/>
          <w:color w:val="0070C0"/>
          <w:kern w:val="0"/>
          <w:sz w:val="22"/>
          <w:szCs w:val="22"/>
          <w14:ligatures w14:val="none"/>
        </w:rPr>
      </w:pPr>
    </w:p>
    <w:p w14:paraId="0C2F5F4F" w14:textId="3E532B74" w:rsidR="006070FD" w:rsidRPr="006070FD" w:rsidRDefault="006070FD" w:rsidP="006070FD">
      <w:pPr>
        <w:spacing w:after="0" w:line="240" w:lineRule="auto"/>
        <w:jc w:val="both"/>
        <w:rPr>
          <w:rFonts w:ascii="Times New Roman" w:eastAsia="SimSun" w:hAnsi="Times New Roman" w:cs="Times New Roman"/>
          <w:b/>
          <w:kern w:val="0"/>
          <w:sz w:val="22"/>
          <w:szCs w:val="22"/>
          <w:lang w:val="en-PH"/>
          <w14:ligatures w14:val="none"/>
        </w:rPr>
      </w:pPr>
      <w:r w:rsidRPr="006070FD">
        <w:rPr>
          <w:rFonts w:ascii="Times New Roman" w:eastAsia="SimSun" w:hAnsi="Times New Roman" w:cs="Times New Roman"/>
          <w:b/>
          <w:kern w:val="0"/>
          <w:sz w:val="22"/>
          <w:szCs w:val="22"/>
          <w:lang w:val="en-PH"/>
          <w14:ligatures w14:val="none"/>
        </w:rPr>
        <w:t>Gender and Development (GAD) Focal Point System</w:t>
      </w:r>
    </w:p>
    <w:p w14:paraId="1067FF2B" w14:textId="77777777" w:rsidR="006070FD" w:rsidRPr="006070FD" w:rsidRDefault="006070FD" w:rsidP="006070FD">
      <w:pPr>
        <w:spacing w:after="0" w:line="240" w:lineRule="auto"/>
        <w:ind w:firstLine="720"/>
        <w:jc w:val="both"/>
        <w:rPr>
          <w:rFonts w:ascii="Times New Roman" w:eastAsia="SimSun" w:hAnsi="Times New Roman" w:cs="Times New Roman"/>
          <w:bCs/>
          <w:kern w:val="0"/>
          <w:sz w:val="22"/>
          <w:szCs w:val="22"/>
          <w:lang w:val="en-PH"/>
          <w14:ligatures w14:val="none"/>
        </w:rPr>
      </w:pPr>
      <w:r w:rsidRPr="006070FD">
        <w:rPr>
          <w:rFonts w:ascii="Times New Roman" w:eastAsia="SimSun" w:hAnsi="Times New Roman" w:cs="Times New Roman"/>
          <w:bCs/>
          <w:kern w:val="0"/>
          <w:sz w:val="22"/>
          <w:szCs w:val="22"/>
          <w:lang w:val="en-PH"/>
          <w14:ligatures w14:val="none"/>
        </w:rPr>
        <w:t>The establishment of Gender and Development (GAD) Focal Point System (GFPS) is a vital step in mainstreaming gender equality within institutions, particularly in higher education. According to the Philippine Commission on Women (PCW, 2011), the GFPS plays a critical role in ensuring the successful implementation of GAD policies, programs, and activities within government institutions, including state universities and colleges. These systems act as the mechanism for promoting gender equality by coordinating and monitoring the integration of gender perspectives in organizational policies, budget planning, and project implementation. It is through the GFPS that the Philippine government hopes to fulfill its commitment to gender equality, as mandated in the Magna Carta of Women (Republic Act No. 9710).</w:t>
      </w:r>
    </w:p>
    <w:p w14:paraId="00B4C135" w14:textId="77777777" w:rsidR="006070FD" w:rsidRPr="006070FD" w:rsidRDefault="006070FD" w:rsidP="006070FD">
      <w:pPr>
        <w:spacing w:after="0" w:line="240" w:lineRule="auto"/>
        <w:ind w:firstLine="720"/>
        <w:jc w:val="both"/>
        <w:rPr>
          <w:rFonts w:ascii="Times New Roman" w:eastAsia="SimSun" w:hAnsi="Times New Roman" w:cs="Times New Roman"/>
          <w:bCs/>
          <w:kern w:val="0"/>
          <w:sz w:val="22"/>
          <w:szCs w:val="22"/>
          <w:lang w:val="en-PH"/>
          <w14:ligatures w14:val="none"/>
        </w:rPr>
      </w:pPr>
      <w:r w:rsidRPr="006070FD">
        <w:rPr>
          <w:rFonts w:ascii="Times New Roman" w:eastAsia="SimSun" w:hAnsi="Times New Roman" w:cs="Times New Roman"/>
          <w:bCs/>
          <w:kern w:val="0"/>
          <w:sz w:val="22"/>
          <w:szCs w:val="22"/>
          <w:lang w:val="en-PH"/>
          <w14:ligatures w14:val="none"/>
        </w:rPr>
        <w:t xml:space="preserve">Gender mainstreaming, as conceptualized in international frameworks such as the Beijing Platform for Action, is a strategy that aims to promote gender equality by ensuring that gender considerations are </w:t>
      </w:r>
      <w:r w:rsidRPr="006070FD">
        <w:rPr>
          <w:rFonts w:ascii="Times New Roman" w:eastAsia="SimSun" w:hAnsi="Times New Roman" w:cs="Times New Roman"/>
          <w:bCs/>
          <w:kern w:val="0"/>
          <w:sz w:val="22"/>
          <w:szCs w:val="22"/>
          <w:lang w:val="en-PH"/>
          <w14:ligatures w14:val="none"/>
        </w:rPr>
        <w:lastRenderedPageBreak/>
        <w:t>integrated into all aspects of public policy and programming (UN Women, 1995). In the Philippines, gender mainstreaming has been institutionalized in the form of the GFPS, which is tasked with integrating gender into all facets of government operation (PCW, 2011). Despite its importance, numerous studies indicate that many GFPS members lack adequate training and resources to fully perform their roles effectively (Llanes, 2014).</w:t>
      </w:r>
    </w:p>
    <w:p w14:paraId="3164C4A7" w14:textId="77777777" w:rsidR="006070FD" w:rsidRPr="006070FD" w:rsidRDefault="006070FD" w:rsidP="006070FD">
      <w:pPr>
        <w:spacing w:after="0" w:line="240" w:lineRule="auto"/>
        <w:jc w:val="both"/>
        <w:rPr>
          <w:rFonts w:ascii="Times New Roman" w:eastAsia="SimSun" w:hAnsi="Times New Roman" w:cs="Times New Roman"/>
          <w:bCs/>
          <w:kern w:val="0"/>
          <w:sz w:val="22"/>
          <w:szCs w:val="22"/>
          <w:lang w:val="en-PH"/>
          <w14:ligatures w14:val="none"/>
        </w:rPr>
      </w:pPr>
    </w:p>
    <w:p w14:paraId="7F36E4EF" w14:textId="00A5D8D0" w:rsidR="006070FD" w:rsidRPr="006070FD" w:rsidRDefault="006070FD" w:rsidP="006070FD">
      <w:pPr>
        <w:spacing w:after="0" w:line="240" w:lineRule="auto"/>
        <w:jc w:val="both"/>
        <w:rPr>
          <w:rFonts w:ascii="Times New Roman" w:eastAsia="SimSun" w:hAnsi="Times New Roman" w:cs="Times New Roman"/>
          <w:b/>
          <w:kern w:val="0"/>
          <w:sz w:val="22"/>
          <w:szCs w:val="22"/>
          <w:lang w:val="en-PH"/>
          <w14:ligatures w14:val="none"/>
        </w:rPr>
      </w:pPr>
      <w:r w:rsidRPr="006070FD">
        <w:rPr>
          <w:rFonts w:ascii="Times New Roman" w:eastAsia="SimSun" w:hAnsi="Times New Roman" w:cs="Times New Roman"/>
          <w:b/>
          <w:kern w:val="0"/>
          <w:sz w:val="22"/>
          <w:szCs w:val="22"/>
          <w:lang w:val="en-PH"/>
          <w14:ligatures w14:val="none"/>
        </w:rPr>
        <w:t>Training and Capacity Building for GFPS Members</w:t>
      </w:r>
    </w:p>
    <w:p w14:paraId="3C221A04" w14:textId="4D8BEF8A" w:rsidR="006070FD" w:rsidRPr="006070FD" w:rsidRDefault="006070FD" w:rsidP="006070FD">
      <w:pPr>
        <w:spacing w:after="0" w:line="240" w:lineRule="auto"/>
        <w:ind w:firstLine="720"/>
        <w:jc w:val="both"/>
        <w:rPr>
          <w:rFonts w:ascii="Times New Roman" w:eastAsia="SimSun" w:hAnsi="Times New Roman" w:cs="Times New Roman"/>
          <w:bCs/>
          <w:kern w:val="0"/>
          <w:sz w:val="22"/>
          <w:szCs w:val="22"/>
          <w:lang w:val="en-PH"/>
          <w14:ligatures w14:val="none"/>
        </w:rPr>
      </w:pPr>
      <w:r w:rsidRPr="006070FD">
        <w:rPr>
          <w:rFonts w:ascii="Times New Roman" w:eastAsia="SimSun" w:hAnsi="Times New Roman" w:cs="Times New Roman"/>
          <w:bCs/>
          <w:kern w:val="0"/>
          <w:sz w:val="22"/>
          <w:szCs w:val="22"/>
          <w:lang w:val="en-PH"/>
          <w14:ligatures w14:val="none"/>
        </w:rPr>
        <w:t>Effective gender mainstreaming relies on the capacity of the GFPS members to understand and apply gender concepts, policies, and tools in their day-to-day functions. Capacity building is defined as the process of enhancing the skills, knowledge, and attitudes of individuals to enable them to perform their roles effectively (UND</w:t>
      </w:r>
      <w:r w:rsidRPr="006070FD">
        <w:rPr>
          <w:rFonts w:ascii="Times New Roman" w:eastAsia="SimSun" w:hAnsi="Times New Roman" w:cs="Times New Roman"/>
          <w:bCs/>
          <w:kern w:val="0"/>
          <w:sz w:val="22"/>
          <w:szCs w:val="22"/>
          <w14:ligatures w14:val="none"/>
        </w:rPr>
        <w:t>P</w:t>
      </w:r>
      <w:r w:rsidRPr="006070FD">
        <w:rPr>
          <w:rFonts w:ascii="Times New Roman" w:eastAsia="SimSun" w:hAnsi="Times New Roman" w:cs="Times New Roman"/>
          <w:bCs/>
          <w:kern w:val="0"/>
          <w:sz w:val="22"/>
          <w:szCs w:val="22"/>
          <w:lang w:val="en-PH"/>
          <w14:ligatures w14:val="none"/>
        </w:rPr>
        <w:t>, 2016). As such, capacity-building programs are critical to enhancing the functionality of GFPS committees and empowering members to carry out their gender-related responsibilities.</w:t>
      </w:r>
      <w:r w:rsidR="00843E64">
        <w:rPr>
          <w:rFonts w:ascii="Times New Roman" w:eastAsia="SimSun" w:hAnsi="Times New Roman" w:cs="Times New Roman"/>
          <w:bCs/>
          <w:kern w:val="0"/>
          <w:sz w:val="22"/>
          <w:szCs w:val="22"/>
          <w:lang w:val="en-PH"/>
          <w14:ligatures w14:val="none"/>
        </w:rPr>
        <w:t xml:space="preserve"> </w:t>
      </w:r>
      <w:r w:rsidRPr="006070FD">
        <w:rPr>
          <w:rFonts w:ascii="Times New Roman" w:eastAsia="SimSun" w:hAnsi="Times New Roman" w:cs="Times New Roman"/>
          <w:bCs/>
          <w:kern w:val="0"/>
          <w:sz w:val="22"/>
          <w:szCs w:val="22"/>
          <w:lang w:val="en-PH"/>
          <w14:ligatures w14:val="none"/>
        </w:rPr>
        <w:t>In a study conducted by Javier (2019), it was found that the lack of capacity-building initiatives for GFPS members in many higher education institutions led to inadequate implementation of GAD programs. The study pointed out that while policies may exist, the successful implementation and monitoring of these policies require individuals who are properly trained and equipped with the necessary tools. In response, many institutions are now developing targeted training programs that address the knowledge gaps identified in their GFPS committees (Javier, 2019).</w:t>
      </w:r>
    </w:p>
    <w:p w14:paraId="034CD3EA" w14:textId="77777777" w:rsidR="006070FD" w:rsidRPr="006070FD" w:rsidRDefault="006070FD" w:rsidP="006070FD">
      <w:pPr>
        <w:spacing w:after="0" w:line="240" w:lineRule="auto"/>
        <w:ind w:firstLine="720"/>
        <w:jc w:val="both"/>
        <w:rPr>
          <w:rFonts w:ascii="Times New Roman" w:eastAsia="SimSun" w:hAnsi="Times New Roman" w:cs="Times New Roman"/>
          <w:bCs/>
          <w:kern w:val="0"/>
          <w:sz w:val="22"/>
          <w:szCs w:val="22"/>
          <w:lang w:val="en-PH"/>
          <w14:ligatures w14:val="none"/>
        </w:rPr>
      </w:pPr>
      <w:r w:rsidRPr="006070FD">
        <w:rPr>
          <w:rFonts w:ascii="Times New Roman" w:eastAsia="SimSun" w:hAnsi="Times New Roman" w:cs="Times New Roman"/>
          <w:bCs/>
          <w:kern w:val="0"/>
          <w:sz w:val="22"/>
          <w:szCs w:val="22"/>
          <w:lang w:val="en-PH"/>
          <w14:ligatures w14:val="none"/>
        </w:rPr>
        <w:t>Moreover, according to the Gender Mainstreaming and Evaluation Framework (GMEF), institutions that score low in key areas such as policy development, GAD budgeting, and data collection often face challenges in building a sustainable and effective GFPS. This highlights the importance of addressing capacity gaps through training programs that strengthen both the theoretical understanding of GAD and the practical skills needed for effective implementation (Apayao State College, 2024). These capacity-building programs are designed to equip GFPS members with the tools to perform their duties more effectively, ultimately contributing to the success of gender mainstreaming efforts.</w:t>
      </w:r>
    </w:p>
    <w:p w14:paraId="356A5DEC" w14:textId="77777777" w:rsidR="006070FD" w:rsidRPr="006070FD" w:rsidRDefault="006070FD" w:rsidP="006070FD">
      <w:pPr>
        <w:spacing w:after="0" w:line="240" w:lineRule="auto"/>
        <w:jc w:val="both"/>
        <w:rPr>
          <w:rFonts w:ascii="Times New Roman" w:eastAsia="SimSun" w:hAnsi="Times New Roman" w:cs="Times New Roman"/>
          <w:bCs/>
          <w:kern w:val="0"/>
          <w:sz w:val="22"/>
          <w:szCs w:val="22"/>
          <w:lang w:val="en-PH"/>
          <w14:ligatures w14:val="none"/>
        </w:rPr>
      </w:pPr>
    </w:p>
    <w:p w14:paraId="7D78B606" w14:textId="68D3654B" w:rsidR="006070FD" w:rsidRPr="006070FD" w:rsidRDefault="006070FD" w:rsidP="006070FD">
      <w:pPr>
        <w:spacing w:after="0" w:line="240" w:lineRule="auto"/>
        <w:jc w:val="both"/>
        <w:rPr>
          <w:rFonts w:ascii="Times New Roman" w:eastAsia="SimSun" w:hAnsi="Times New Roman" w:cs="Times New Roman"/>
          <w:b/>
          <w:kern w:val="0"/>
          <w:sz w:val="22"/>
          <w:szCs w:val="22"/>
          <w:lang w:val="en-PH"/>
          <w14:ligatures w14:val="none"/>
        </w:rPr>
      </w:pPr>
      <w:r w:rsidRPr="006070FD">
        <w:rPr>
          <w:rFonts w:ascii="Times New Roman" w:eastAsia="SimSun" w:hAnsi="Times New Roman" w:cs="Times New Roman"/>
          <w:b/>
          <w:kern w:val="0"/>
          <w:sz w:val="22"/>
          <w:szCs w:val="22"/>
          <w:lang w:val="en-PH"/>
          <w14:ligatures w14:val="none"/>
        </w:rPr>
        <w:t>GAD Policies, Concepts, and Tools</w:t>
      </w:r>
    </w:p>
    <w:p w14:paraId="1AEBF89F" w14:textId="77777777" w:rsidR="006070FD" w:rsidRPr="006070FD" w:rsidRDefault="006070FD" w:rsidP="006070FD">
      <w:pPr>
        <w:spacing w:after="0" w:line="240" w:lineRule="auto"/>
        <w:ind w:firstLine="720"/>
        <w:jc w:val="both"/>
        <w:rPr>
          <w:rFonts w:ascii="Times New Roman" w:eastAsia="SimSun" w:hAnsi="Times New Roman" w:cs="Times New Roman"/>
          <w:bCs/>
          <w:kern w:val="0"/>
          <w:sz w:val="22"/>
          <w:szCs w:val="22"/>
          <w:lang w:val="en-PH"/>
          <w14:ligatures w14:val="none"/>
        </w:rPr>
      </w:pPr>
      <w:r w:rsidRPr="006070FD">
        <w:rPr>
          <w:rFonts w:ascii="Times New Roman" w:eastAsia="SimSun" w:hAnsi="Times New Roman" w:cs="Times New Roman"/>
          <w:bCs/>
          <w:kern w:val="0"/>
          <w:sz w:val="22"/>
          <w:szCs w:val="22"/>
          <w:lang w:val="en-PH"/>
          <w14:ligatures w14:val="none"/>
        </w:rPr>
        <w:t>Understanding GAD concepts, policies, and tools is critical for the success of any GFPS. According to the UN Women (2018), gender mainstreaming involves the active consideration of gender differences and inequalities in all stages of policy-making, including the design, implementation, and monitoring of policies. For GAD to be effectively mainstreamed, individuals responsible for its implementation need to be familiar with the relevant laws, policies, and frameworks that guide gender equality. This includes understanding the Magna Carta of Women, which mandates that gender perspectives be integrated into government processes, as well as tools such as the Gender Mainstreaming Evaluation Framework (GMEF), which helps institutions assess their progress in gender mainstreaming (PCW, 2011).</w:t>
      </w:r>
    </w:p>
    <w:p w14:paraId="69ADA9BA" w14:textId="77777777" w:rsidR="006070FD" w:rsidRPr="006070FD" w:rsidRDefault="006070FD" w:rsidP="006070FD">
      <w:pPr>
        <w:spacing w:after="0" w:line="240" w:lineRule="auto"/>
        <w:ind w:firstLine="720"/>
        <w:jc w:val="both"/>
        <w:rPr>
          <w:rFonts w:ascii="Times New Roman" w:eastAsia="SimSun" w:hAnsi="Times New Roman" w:cs="Times New Roman"/>
          <w:bCs/>
          <w:kern w:val="0"/>
          <w:sz w:val="22"/>
          <w:szCs w:val="22"/>
          <w:lang w:val="en-PH"/>
          <w14:ligatures w14:val="none"/>
        </w:rPr>
      </w:pPr>
      <w:r w:rsidRPr="006070FD">
        <w:rPr>
          <w:rFonts w:ascii="Times New Roman" w:eastAsia="SimSun" w:hAnsi="Times New Roman" w:cs="Times New Roman"/>
          <w:bCs/>
          <w:kern w:val="0"/>
          <w:sz w:val="22"/>
          <w:szCs w:val="22"/>
          <w:lang w:val="en-PH"/>
          <w14:ligatures w14:val="none"/>
        </w:rPr>
        <w:t>However, a study by Cabangon (2020) on the implementation of GAD programs in state universities revealed that many GFPS members had limited knowledge of key GAD policies and tools. As a result, these institutions faced challenges in institutionalizing gender equality practices effectively. In a similar study by Salazar and Aquino (2017), it was found that while GFPS committees were established in most government agencies, members lacked in-depth knowledge of the GAD tools and policies required to carry out their roles.</w:t>
      </w:r>
    </w:p>
    <w:p w14:paraId="465526BA" w14:textId="77777777" w:rsidR="006070FD" w:rsidRPr="006070FD" w:rsidRDefault="006070FD" w:rsidP="006070FD">
      <w:pPr>
        <w:spacing w:after="0" w:line="240" w:lineRule="auto"/>
        <w:jc w:val="both"/>
        <w:rPr>
          <w:rFonts w:ascii="Times New Roman" w:eastAsia="SimSun" w:hAnsi="Times New Roman" w:cs="Times New Roman"/>
          <w:bCs/>
          <w:kern w:val="0"/>
          <w:sz w:val="22"/>
          <w:szCs w:val="22"/>
          <w:lang w:val="en-PH"/>
          <w14:ligatures w14:val="none"/>
        </w:rPr>
      </w:pPr>
    </w:p>
    <w:p w14:paraId="73FBDC2D" w14:textId="38FBE926" w:rsidR="006070FD" w:rsidRPr="006070FD" w:rsidRDefault="006070FD" w:rsidP="006070FD">
      <w:pPr>
        <w:spacing w:after="0" w:line="240" w:lineRule="auto"/>
        <w:jc w:val="both"/>
        <w:rPr>
          <w:rFonts w:ascii="Times New Roman" w:eastAsia="SimSun" w:hAnsi="Times New Roman" w:cs="Times New Roman"/>
          <w:b/>
          <w:kern w:val="0"/>
          <w:sz w:val="22"/>
          <w:szCs w:val="22"/>
          <w:lang w:val="en-PH"/>
          <w14:ligatures w14:val="none"/>
        </w:rPr>
      </w:pPr>
      <w:r w:rsidRPr="006070FD">
        <w:rPr>
          <w:rFonts w:ascii="Times New Roman" w:eastAsia="SimSun" w:hAnsi="Times New Roman" w:cs="Times New Roman"/>
          <w:b/>
          <w:kern w:val="0"/>
          <w:sz w:val="22"/>
          <w:szCs w:val="22"/>
          <w:lang w:val="en-PH"/>
          <w14:ligatures w14:val="none"/>
        </w:rPr>
        <w:t>Development of Training Programs for GFPS Members</w:t>
      </w:r>
    </w:p>
    <w:p w14:paraId="203AA229" w14:textId="77777777" w:rsidR="006070FD" w:rsidRPr="006070FD" w:rsidRDefault="006070FD" w:rsidP="006070FD">
      <w:pPr>
        <w:spacing w:after="0" w:line="240" w:lineRule="auto"/>
        <w:ind w:firstLine="720"/>
        <w:jc w:val="both"/>
        <w:rPr>
          <w:rFonts w:ascii="Times New Roman" w:eastAsia="SimSun" w:hAnsi="Times New Roman" w:cs="Times New Roman"/>
          <w:bCs/>
          <w:kern w:val="0"/>
          <w:sz w:val="22"/>
          <w:szCs w:val="22"/>
          <w:lang w:val="en-PH"/>
          <w14:ligatures w14:val="none"/>
        </w:rPr>
      </w:pPr>
      <w:r w:rsidRPr="006070FD">
        <w:rPr>
          <w:rFonts w:ascii="Times New Roman" w:eastAsia="SimSun" w:hAnsi="Times New Roman" w:cs="Times New Roman"/>
          <w:bCs/>
          <w:kern w:val="0"/>
          <w:sz w:val="22"/>
          <w:szCs w:val="22"/>
          <w:lang w:val="en-PH"/>
          <w14:ligatures w14:val="none"/>
        </w:rPr>
        <w:t xml:space="preserve">In light of these challenges, developing and implementing comprehensive training programs for GFPS members is </w:t>
      </w:r>
      <w:r w:rsidRPr="006070FD">
        <w:rPr>
          <w:rFonts w:ascii="Times New Roman" w:eastAsia="SimSun" w:hAnsi="Times New Roman" w:cs="Times New Roman"/>
          <w:bCs/>
          <w:kern w:val="0"/>
          <w:sz w:val="22"/>
          <w:szCs w:val="22"/>
          <w14:ligatures w14:val="none"/>
        </w:rPr>
        <w:t>basically important</w:t>
      </w:r>
      <w:r w:rsidRPr="006070FD">
        <w:rPr>
          <w:rFonts w:ascii="Times New Roman" w:eastAsia="SimSun" w:hAnsi="Times New Roman" w:cs="Times New Roman"/>
          <w:bCs/>
          <w:kern w:val="0"/>
          <w:sz w:val="22"/>
          <w:szCs w:val="22"/>
          <w:lang w:val="en-PH"/>
          <w14:ligatures w14:val="none"/>
        </w:rPr>
        <w:t xml:space="preserve">. According to a report by the UN Women (2015), training is one of the most effective ways to build the capacity of GAD focal points, as it allows members to better understand and apply gender equality principles within their institutions. These programs should address both the </w:t>
      </w:r>
      <w:r w:rsidRPr="006070FD">
        <w:rPr>
          <w:rFonts w:ascii="Times New Roman" w:eastAsia="SimSun" w:hAnsi="Times New Roman" w:cs="Times New Roman"/>
          <w:bCs/>
          <w:kern w:val="0"/>
          <w:sz w:val="22"/>
          <w:szCs w:val="22"/>
          <w:lang w:val="en-PH"/>
          <w14:ligatures w14:val="none"/>
        </w:rPr>
        <w:lastRenderedPageBreak/>
        <w:t>conceptual and practical aspects of GAD, focusing on issues such as gender analysis, gender-responsive budgeting, and the use of gender-sensitive data collection tools.</w:t>
      </w:r>
    </w:p>
    <w:p w14:paraId="046BC375" w14:textId="77777777" w:rsidR="006070FD" w:rsidRPr="006070FD" w:rsidRDefault="006070FD" w:rsidP="006070FD">
      <w:pPr>
        <w:spacing w:after="0" w:line="240" w:lineRule="auto"/>
        <w:ind w:firstLine="720"/>
        <w:jc w:val="both"/>
        <w:rPr>
          <w:rFonts w:ascii="Times New Roman" w:eastAsia="Cambria" w:hAnsi="Times New Roman" w:cs="Times New Roman"/>
          <w:color w:val="0070C0"/>
          <w:kern w:val="0"/>
          <w:sz w:val="22"/>
          <w:szCs w:val="22"/>
          <w14:ligatures w14:val="none"/>
        </w:rPr>
      </w:pPr>
      <w:r w:rsidRPr="006070FD">
        <w:rPr>
          <w:rFonts w:ascii="Times New Roman" w:eastAsia="SimSun" w:hAnsi="Times New Roman" w:cs="Times New Roman"/>
          <w:bCs/>
          <w:kern w:val="0"/>
          <w:sz w:val="22"/>
          <w:szCs w:val="22"/>
          <w:lang w:val="en-PH"/>
          <w14:ligatures w14:val="none"/>
        </w:rPr>
        <w:t>Several studies have emphasized the need for tailored training programs based on the specific needs of GFPS members. For instance, a study by Garcia (2018) on the capacity-building initiatives for GAD personnel in various government offices pointed out that training programs should be designed based on the results of a training needs assessment. By conducting such assessments, institutions can identify the specific areas where their GFPS members need support, whether it be in understanding policy frameworks, utilizing GAD tools, or applying gender analysis techniques.</w:t>
      </w:r>
    </w:p>
    <w:p w14:paraId="35361AB3" w14:textId="77777777" w:rsidR="006070FD" w:rsidRPr="006070FD" w:rsidRDefault="006070FD" w:rsidP="006070FD">
      <w:pPr>
        <w:widowControl w:val="0"/>
        <w:spacing w:before="43" w:after="0" w:line="240" w:lineRule="auto"/>
        <w:ind w:firstLine="567"/>
        <w:jc w:val="both"/>
        <w:rPr>
          <w:rFonts w:ascii="Times New Roman" w:eastAsia="Cambria" w:hAnsi="Times New Roman" w:cs="Times New Roman"/>
          <w:color w:val="000000"/>
          <w:kern w:val="0"/>
          <w:sz w:val="22"/>
          <w:szCs w:val="22"/>
          <w14:ligatures w14:val="none"/>
        </w:rPr>
      </w:pPr>
    </w:p>
    <w:p w14:paraId="77E65DAF" w14:textId="4D039EF3" w:rsidR="006070FD" w:rsidRPr="006070FD" w:rsidRDefault="006070FD" w:rsidP="006070FD">
      <w:pPr>
        <w:widowControl w:val="0"/>
        <w:spacing w:before="43" w:after="0" w:line="240" w:lineRule="auto"/>
        <w:jc w:val="both"/>
        <w:rPr>
          <w:rFonts w:ascii="Times New Roman" w:eastAsia="Cambria" w:hAnsi="Times New Roman" w:cs="Times New Roman"/>
          <w:b/>
          <w:color w:val="000000"/>
          <w:kern w:val="0"/>
          <w:sz w:val="22"/>
          <w:szCs w:val="22"/>
          <w14:ligatures w14:val="none"/>
        </w:rPr>
      </w:pPr>
      <w:r w:rsidRPr="006070FD">
        <w:rPr>
          <w:rFonts w:ascii="Times New Roman" w:eastAsia="Cambria" w:hAnsi="Times New Roman" w:cs="Times New Roman"/>
          <w:b/>
          <w:bCs/>
          <w:color w:val="000000"/>
          <w:kern w:val="0"/>
          <w:sz w:val="22"/>
          <w:szCs w:val="22"/>
          <w14:ligatures w14:val="none"/>
        </w:rPr>
        <w:t>Objectives</w:t>
      </w:r>
    </w:p>
    <w:p w14:paraId="5BA4F763" w14:textId="77777777" w:rsidR="006070FD" w:rsidRPr="006070FD" w:rsidRDefault="006070FD" w:rsidP="006070FD">
      <w:pPr>
        <w:spacing w:after="0" w:line="240" w:lineRule="auto"/>
        <w:ind w:firstLine="720"/>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This study is guided by </w:t>
      </w:r>
      <w:r w:rsidRPr="006070FD">
        <w:rPr>
          <w:rFonts w:ascii="Times New Roman" w:eastAsia="SimSun" w:hAnsi="Times New Roman" w:cs="Times New Roman"/>
          <w:bCs/>
          <w:kern w:val="0"/>
          <w:sz w:val="22"/>
          <w:szCs w:val="22"/>
          <w:lang w:val="en-PH"/>
          <w14:ligatures w14:val="none"/>
        </w:rPr>
        <w:t>Gender Mainstreaming Theory</w:t>
      </w:r>
      <w:r w:rsidRPr="006070FD">
        <w:rPr>
          <w:rFonts w:ascii="Times New Roman" w:eastAsia="SimSun" w:hAnsi="Times New Roman" w:cs="Times New Roman"/>
          <w:kern w:val="0"/>
          <w:sz w:val="22"/>
          <w:szCs w:val="22"/>
          <w:lang w:val="en-PH"/>
          <w14:ligatures w14:val="none"/>
        </w:rPr>
        <w:t xml:space="preserve">, which draws from feminist theory and organizational change perspectives. Gender Mainstreaming Theory emphasizes the systematic integration of gender perspectives into the design, implementation, monitoring, and evaluation of policies, programs, and institutional processes. It is based on the premise that gender inequality is not just a social issue but also a structural one embedded in institutions, and that meaningful change requires both policy reforms and shifts in organizational culture and practices (Bacchi &amp; Eveline, 2010; Moser, 1993). </w:t>
      </w:r>
    </w:p>
    <w:p w14:paraId="62B371B2" w14:textId="77777777" w:rsidR="006070FD" w:rsidRPr="006070FD" w:rsidRDefault="006070FD" w:rsidP="006070FD">
      <w:pPr>
        <w:spacing w:after="0" w:line="240" w:lineRule="auto"/>
        <w:ind w:firstLine="720"/>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In the context of </w:t>
      </w:r>
      <w:r w:rsidRPr="006070FD">
        <w:rPr>
          <w:rFonts w:ascii="Times New Roman" w:eastAsia="SimSun" w:hAnsi="Times New Roman" w:cs="Times New Roman"/>
          <w:kern w:val="0"/>
          <w:sz w:val="22"/>
          <w:szCs w:val="22"/>
          <w14:ligatures w14:val="none"/>
        </w:rPr>
        <w:t xml:space="preserve">state-owned academic </w:t>
      </w:r>
      <w:r w:rsidRPr="006070FD">
        <w:rPr>
          <w:rFonts w:ascii="Times New Roman" w:eastAsia="SimSun" w:hAnsi="Times New Roman" w:cs="Times New Roman"/>
          <w:kern w:val="0"/>
          <w:sz w:val="22"/>
          <w:szCs w:val="22"/>
          <w:lang w:val="en-PH"/>
          <w14:ligatures w14:val="none"/>
        </w:rPr>
        <w:t xml:space="preserve">institutions like Apayao State College, this theory supports the idea that capacity-building among members of the Gender and Development Focal Point System (GFPS) is essential for successful gender mainstreaming. The theory underlines that institutional change can only be achieved if individuals responsible for implementing GAD programs are well-equipped with the necessary knowledge, tools, and competencies. </w:t>
      </w:r>
    </w:p>
    <w:p w14:paraId="191DA69D" w14:textId="77777777" w:rsidR="006070FD" w:rsidRPr="006070FD" w:rsidRDefault="006070FD" w:rsidP="006070FD">
      <w:pPr>
        <w:spacing w:after="0" w:line="240" w:lineRule="auto"/>
        <w:ind w:firstLine="720"/>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Furthermore, it highlights the importance of internal mechanisms—such as the use of gender analysis tools and strategic planning—as foundational to building gender-responsive institutions (True, 2003). The framework aligns with national gender policies in the Philippines, particularly those outlined by the Philippine Commission on Women, which mandate the integration of gender equality principles through tools such as the Gender Mainstreaming Evaluation Framework (GMEF) and Harmonized Gender and Development Guidelines (HGDG) (PCW, 2016). By using this framework, the study is able to assess not only the individual competencies of GFPS members but also the readiness of the institution to fully implement its gender mainstreaming goals.</w:t>
      </w:r>
    </w:p>
    <w:p w14:paraId="218D8C8F" w14:textId="77777777" w:rsidR="006070FD" w:rsidRPr="006070FD" w:rsidRDefault="006070FD" w:rsidP="006070FD">
      <w:pPr>
        <w:spacing w:after="0" w:line="240" w:lineRule="auto"/>
        <w:ind w:firstLine="720"/>
        <w:jc w:val="both"/>
        <w:rPr>
          <w:rFonts w:ascii="Times New Roman" w:eastAsia="SimSun" w:hAnsi="Times New Roman" w:cs="Times New Roman"/>
          <w:bCs/>
          <w:kern w:val="0"/>
          <w:sz w:val="22"/>
          <w:szCs w:val="22"/>
          <w:lang w:val="en-PH"/>
          <w14:ligatures w14:val="none"/>
        </w:rPr>
      </w:pPr>
      <w:r w:rsidRPr="006070FD">
        <w:rPr>
          <w:rFonts w:ascii="Times New Roman" w:eastAsia="SimSun" w:hAnsi="Times New Roman" w:cs="Times New Roman"/>
          <w:bCs/>
          <w:kern w:val="0"/>
          <w:sz w:val="22"/>
          <w:szCs w:val="22"/>
          <w:lang w:val="en-PH"/>
          <w14:ligatures w14:val="none"/>
        </w:rPr>
        <w:t>This study evaluates the training needs of the College’s Gender and Development (GAD) Focal Point System (GFPS) members by analyzing their demographic profiles (sex, age, education, position, committee, years of service, and campus) and assessing their familiarity with GAD concepts, policies, and tools, revealing gaps in specialized areas like gender mainstreaming and specific tools (e.g., Gender Mainstreaming Evaluation Framework), with statistical tests indicating that familiarity levels may vary by factors like position and experience, leading to the development of a tailored training program focused on foundational GAD knowledge, policy application, and hands-on skill-building to enhance gender mainstreaming competencies.</w:t>
      </w:r>
    </w:p>
    <w:p w14:paraId="6115C1DD" w14:textId="77777777" w:rsidR="006070FD" w:rsidRDefault="006070FD" w:rsidP="006070FD">
      <w:pPr>
        <w:widowControl w:val="0"/>
        <w:spacing w:before="43" w:after="0" w:line="240" w:lineRule="auto"/>
        <w:rPr>
          <w:rFonts w:ascii="Times New Roman" w:eastAsia="Cambria" w:hAnsi="Times New Roman" w:cs="Times New Roman"/>
          <w:color w:val="000000"/>
          <w:kern w:val="0"/>
          <w:sz w:val="22"/>
          <w:szCs w:val="22"/>
          <w:lang w:val="en-PH"/>
          <w14:ligatures w14:val="none"/>
        </w:rPr>
      </w:pPr>
    </w:p>
    <w:p w14:paraId="09F18D5C" w14:textId="77777777" w:rsidR="006070FD" w:rsidRDefault="006070FD" w:rsidP="006070FD">
      <w:pPr>
        <w:widowControl w:val="0"/>
        <w:spacing w:before="43" w:line="240" w:lineRule="auto"/>
        <w:rPr>
          <w:rFonts w:ascii="Times New Roman" w:eastAsia="Cambria" w:hAnsi="Times New Roman" w:cs="Times New Roman"/>
          <w:b/>
          <w:color w:val="000000"/>
          <w:kern w:val="0"/>
          <w:sz w:val="22"/>
          <w:szCs w:val="22"/>
          <w:lang w:val="en-PH"/>
          <w14:ligatures w14:val="none"/>
        </w:rPr>
      </w:pPr>
      <w:r w:rsidRPr="006070FD">
        <w:rPr>
          <w:rFonts w:ascii="Times New Roman" w:eastAsia="Cambria" w:hAnsi="Times New Roman" w:cs="Times New Roman"/>
          <w:b/>
          <w:color w:val="000000"/>
          <w:kern w:val="0"/>
          <w:sz w:val="22"/>
          <w:szCs w:val="22"/>
          <w:lang w:val="en-PH"/>
          <w14:ligatures w14:val="none"/>
        </w:rPr>
        <w:t>METHOD</w:t>
      </w:r>
      <w:r>
        <w:rPr>
          <w:rFonts w:ascii="Times New Roman" w:eastAsia="Cambria" w:hAnsi="Times New Roman" w:cs="Times New Roman"/>
          <w:b/>
          <w:color w:val="000000"/>
          <w:kern w:val="0"/>
          <w:sz w:val="22"/>
          <w:szCs w:val="22"/>
          <w:lang w:val="en-PH"/>
          <w14:ligatures w14:val="none"/>
        </w:rPr>
        <w:t>S</w:t>
      </w:r>
    </w:p>
    <w:p w14:paraId="769AE492" w14:textId="05B38C99" w:rsidR="006070FD" w:rsidRPr="006070FD" w:rsidRDefault="006070FD" w:rsidP="006070FD">
      <w:pPr>
        <w:widowControl w:val="0"/>
        <w:spacing w:before="43" w:after="0" w:line="240" w:lineRule="auto"/>
        <w:jc w:val="both"/>
        <w:rPr>
          <w:rFonts w:ascii="Times New Roman" w:eastAsia="Cambria" w:hAnsi="Times New Roman" w:cs="Times New Roman"/>
          <w:b/>
          <w:color w:val="000000"/>
          <w:kern w:val="0"/>
          <w:sz w:val="22"/>
          <w:szCs w:val="22"/>
          <w:lang w:val="en-PH"/>
          <w14:ligatures w14:val="none"/>
        </w:rPr>
      </w:pPr>
      <w:r>
        <w:rPr>
          <w:rFonts w:ascii="Times New Roman" w:eastAsia="Cambria" w:hAnsi="Times New Roman" w:cs="Times New Roman"/>
          <w:bCs/>
          <w:color w:val="000000"/>
          <w:kern w:val="0"/>
          <w:sz w:val="22"/>
          <w:szCs w:val="22"/>
          <w:lang w:val="en-PH"/>
          <w14:ligatures w14:val="none"/>
        </w:rPr>
        <w:tab/>
      </w:r>
      <w:r w:rsidRPr="006070FD">
        <w:rPr>
          <w:rFonts w:ascii="Times New Roman" w:eastAsia="Cambria" w:hAnsi="Times New Roman" w:cs="Times New Roman"/>
          <w:bCs/>
          <w:color w:val="000000"/>
          <w:kern w:val="0"/>
          <w:sz w:val="22"/>
          <w:szCs w:val="22"/>
          <w:lang w:val="en-PH"/>
          <w14:ligatures w14:val="none"/>
        </w:rPr>
        <w:t xml:space="preserve">This study used descriptive </w:t>
      </w:r>
      <w:r w:rsidRPr="006070FD">
        <w:rPr>
          <w:rFonts w:ascii="Times New Roman" w:eastAsia="Cambria" w:hAnsi="Times New Roman" w:cs="Times New Roman"/>
          <w:bCs/>
          <w:color w:val="000000"/>
          <w:kern w:val="0"/>
          <w:sz w:val="22"/>
          <w:szCs w:val="22"/>
          <w14:ligatures w14:val="none"/>
        </w:rPr>
        <w:t>-survey research design</w:t>
      </w:r>
      <w:r w:rsidRPr="006070FD">
        <w:rPr>
          <w:rFonts w:ascii="Times New Roman" w:eastAsia="Cambria" w:hAnsi="Times New Roman" w:cs="Times New Roman"/>
          <w:bCs/>
          <w:color w:val="000000"/>
          <w:kern w:val="0"/>
          <w:sz w:val="22"/>
          <w:szCs w:val="22"/>
          <w:lang w:val="en-PH"/>
          <w14:ligatures w14:val="none"/>
        </w:rPr>
        <w:t>. A survey questionnaire was utilized to determine the familiarity level of GFPS members on GAD concepts, legal mandates and policies, and tools. The questionnaire was based on the Training Needs Assessment (TNA) Questionnaire of the Philippine Commission on Women. Administration of the questionnaire were used the Google Form to easily access the respondents. The TNA was administered last April, 2024. Out of 45 GFPS members, 44 of these were responded the questionnaire. Statistical tools were used frequency, percentage, weighted mean, t-test, and ANOVA. Below is the scale used to determine the level of familiarity of the GFPS members to GAD concepts, legal mandates and policies, and tools:</w:t>
      </w:r>
    </w:p>
    <w:p w14:paraId="597B4700" w14:textId="4118A720" w:rsidR="006070FD" w:rsidRPr="006070FD" w:rsidRDefault="006070FD" w:rsidP="006070FD">
      <w:pPr>
        <w:widowControl w:val="0"/>
        <w:spacing w:after="0" w:line="240" w:lineRule="auto"/>
        <w:ind w:left="2880"/>
        <w:jc w:val="both"/>
        <w:rPr>
          <w:rFonts w:ascii="Times New Roman" w:eastAsia="Cambria" w:hAnsi="Times New Roman" w:cs="Times New Roman"/>
          <w:b/>
          <w:color w:val="000000"/>
          <w:kern w:val="0"/>
          <w:sz w:val="20"/>
          <w:szCs w:val="22"/>
          <w:lang w:val="en-PH"/>
          <w14:ligatures w14:val="none"/>
        </w:rPr>
      </w:pPr>
      <w:r w:rsidRPr="006070FD">
        <w:rPr>
          <w:rFonts w:ascii="Times New Roman" w:eastAsia="Cambria" w:hAnsi="Times New Roman" w:cs="Times New Roman"/>
          <w:b/>
          <w:color w:val="000000"/>
          <w:kern w:val="0"/>
          <w:sz w:val="20"/>
          <w:szCs w:val="22"/>
          <w:lang w:val="en-PH"/>
          <w14:ligatures w14:val="none"/>
        </w:rPr>
        <w:lastRenderedPageBreak/>
        <w:t>Scale Range</w:t>
      </w:r>
      <w:r>
        <w:rPr>
          <w:rFonts w:ascii="Times New Roman" w:eastAsia="Cambria" w:hAnsi="Times New Roman" w:cs="Times New Roman"/>
          <w:b/>
          <w:color w:val="000000"/>
          <w:kern w:val="0"/>
          <w:sz w:val="20"/>
          <w:szCs w:val="22"/>
          <w:lang w:val="en-PH"/>
          <w14:ligatures w14:val="none"/>
        </w:rPr>
        <w:t xml:space="preserve">       </w:t>
      </w:r>
      <w:r w:rsidRPr="006070FD">
        <w:rPr>
          <w:rFonts w:ascii="Times New Roman" w:eastAsia="Cambria" w:hAnsi="Times New Roman" w:cs="Times New Roman"/>
          <w:b/>
          <w:color w:val="000000"/>
          <w:kern w:val="0"/>
          <w:sz w:val="20"/>
          <w:szCs w:val="22"/>
          <w:lang w:val="en-PH"/>
          <w14:ligatures w14:val="none"/>
        </w:rPr>
        <w:t>Verbal Interpretation</w:t>
      </w:r>
    </w:p>
    <w:p w14:paraId="695F9FE4" w14:textId="14332EF5" w:rsidR="006070FD" w:rsidRPr="006070FD" w:rsidRDefault="006070FD" w:rsidP="006070FD">
      <w:pPr>
        <w:widowControl w:val="0"/>
        <w:spacing w:after="0" w:line="240" w:lineRule="auto"/>
        <w:ind w:left="2880"/>
        <w:jc w:val="both"/>
        <w:rPr>
          <w:rFonts w:ascii="Times New Roman" w:eastAsia="Cambria" w:hAnsi="Times New Roman" w:cs="Times New Roman"/>
          <w:bCs/>
          <w:color w:val="000000"/>
          <w:kern w:val="0"/>
          <w:sz w:val="20"/>
          <w:szCs w:val="22"/>
          <w:lang w:val="en-PH"/>
          <w14:ligatures w14:val="none"/>
        </w:rPr>
      </w:pPr>
      <w:r w:rsidRPr="006070FD">
        <w:rPr>
          <w:rFonts w:ascii="Times New Roman" w:eastAsia="Cambria" w:hAnsi="Times New Roman" w:cs="Times New Roman"/>
          <w:bCs/>
          <w:color w:val="000000"/>
          <w:kern w:val="0"/>
          <w:sz w:val="20"/>
          <w:szCs w:val="22"/>
          <w:lang w:val="en-PH"/>
          <w14:ligatures w14:val="none"/>
        </w:rPr>
        <w:t>1.0 – 1.49</w:t>
      </w:r>
      <w:r w:rsidRPr="006070FD">
        <w:rPr>
          <w:rFonts w:ascii="Times New Roman" w:eastAsia="Cambria" w:hAnsi="Times New Roman" w:cs="Times New Roman"/>
          <w:bCs/>
          <w:color w:val="000000"/>
          <w:kern w:val="0"/>
          <w:sz w:val="20"/>
          <w:szCs w:val="22"/>
          <w:lang w:val="en-PH"/>
          <w14:ligatures w14:val="none"/>
        </w:rPr>
        <w:tab/>
        <w:t>No Idea</w:t>
      </w:r>
    </w:p>
    <w:p w14:paraId="1485E651" w14:textId="04F803B9" w:rsidR="006070FD" w:rsidRPr="006070FD" w:rsidRDefault="006070FD" w:rsidP="006070FD">
      <w:pPr>
        <w:widowControl w:val="0"/>
        <w:spacing w:after="0" w:line="240" w:lineRule="auto"/>
        <w:ind w:left="2880"/>
        <w:jc w:val="both"/>
        <w:rPr>
          <w:rFonts w:ascii="Times New Roman" w:eastAsia="Cambria" w:hAnsi="Times New Roman" w:cs="Times New Roman"/>
          <w:bCs/>
          <w:color w:val="000000"/>
          <w:kern w:val="0"/>
          <w:sz w:val="20"/>
          <w:szCs w:val="22"/>
          <w:lang w:val="en-PH"/>
          <w14:ligatures w14:val="none"/>
        </w:rPr>
      </w:pPr>
      <w:r w:rsidRPr="006070FD">
        <w:rPr>
          <w:rFonts w:ascii="Times New Roman" w:eastAsia="Cambria" w:hAnsi="Times New Roman" w:cs="Times New Roman"/>
          <w:bCs/>
          <w:color w:val="000000"/>
          <w:kern w:val="0"/>
          <w:sz w:val="20"/>
          <w:szCs w:val="22"/>
          <w:lang w:val="en-PH"/>
          <w14:ligatures w14:val="none"/>
        </w:rPr>
        <w:t>1.5 – 2.49</w:t>
      </w:r>
      <w:r w:rsidRPr="006070FD">
        <w:rPr>
          <w:rFonts w:ascii="Times New Roman" w:eastAsia="Cambria" w:hAnsi="Times New Roman" w:cs="Times New Roman"/>
          <w:bCs/>
          <w:color w:val="000000"/>
          <w:kern w:val="0"/>
          <w:sz w:val="20"/>
          <w:szCs w:val="22"/>
          <w:lang w:val="en-PH"/>
          <w14:ligatures w14:val="none"/>
        </w:rPr>
        <w:tab/>
        <w:t>Know little about it</w:t>
      </w:r>
    </w:p>
    <w:p w14:paraId="6FE167E5" w14:textId="77777777" w:rsidR="006070FD" w:rsidRPr="006070FD" w:rsidRDefault="006070FD" w:rsidP="006070FD">
      <w:pPr>
        <w:widowControl w:val="0"/>
        <w:spacing w:after="0" w:line="240" w:lineRule="auto"/>
        <w:ind w:left="2880"/>
        <w:jc w:val="both"/>
        <w:rPr>
          <w:rFonts w:ascii="Times New Roman" w:eastAsia="Cambria" w:hAnsi="Times New Roman" w:cs="Times New Roman"/>
          <w:bCs/>
          <w:color w:val="000000"/>
          <w:kern w:val="0"/>
          <w:sz w:val="20"/>
          <w:szCs w:val="22"/>
          <w:lang w:val="en-PH"/>
          <w14:ligatures w14:val="none"/>
        </w:rPr>
      </w:pPr>
      <w:r w:rsidRPr="006070FD">
        <w:rPr>
          <w:rFonts w:ascii="Times New Roman" w:eastAsia="Cambria" w:hAnsi="Times New Roman" w:cs="Times New Roman"/>
          <w:bCs/>
          <w:color w:val="000000"/>
          <w:kern w:val="0"/>
          <w:sz w:val="20"/>
          <w:szCs w:val="22"/>
          <w:lang w:val="en-PH"/>
          <w14:ligatures w14:val="none"/>
        </w:rPr>
        <w:t>2.5 – 3.49</w:t>
      </w:r>
      <w:r w:rsidRPr="006070FD">
        <w:rPr>
          <w:rFonts w:ascii="Times New Roman" w:eastAsia="Cambria" w:hAnsi="Times New Roman" w:cs="Times New Roman"/>
          <w:bCs/>
          <w:color w:val="000000"/>
          <w:kern w:val="0"/>
          <w:sz w:val="20"/>
          <w:szCs w:val="22"/>
          <w:lang w:val="en-PH"/>
          <w14:ligatures w14:val="none"/>
        </w:rPr>
        <w:tab/>
        <w:t>Familiar with it</w:t>
      </w:r>
    </w:p>
    <w:p w14:paraId="355BBE6B" w14:textId="77777777" w:rsidR="006070FD" w:rsidRPr="006070FD" w:rsidRDefault="006070FD" w:rsidP="006070FD">
      <w:pPr>
        <w:widowControl w:val="0"/>
        <w:spacing w:after="0" w:line="240" w:lineRule="auto"/>
        <w:ind w:left="2880"/>
        <w:jc w:val="both"/>
        <w:rPr>
          <w:rFonts w:ascii="Times New Roman" w:eastAsia="Cambria" w:hAnsi="Times New Roman" w:cs="Times New Roman"/>
          <w:bCs/>
          <w:color w:val="000000"/>
          <w:kern w:val="0"/>
          <w:sz w:val="20"/>
          <w:szCs w:val="22"/>
          <w:lang w:val="en-PH"/>
          <w14:ligatures w14:val="none"/>
        </w:rPr>
      </w:pPr>
      <w:r w:rsidRPr="006070FD">
        <w:rPr>
          <w:rFonts w:ascii="Times New Roman" w:eastAsia="Cambria" w:hAnsi="Times New Roman" w:cs="Times New Roman"/>
          <w:bCs/>
          <w:color w:val="000000"/>
          <w:kern w:val="0"/>
          <w:sz w:val="20"/>
          <w:szCs w:val="22"/>
          <w:lang w:val="en-PH"/>
          <w14:ligatures w14:val="none"/>
        </w:rPr>
        <w:t>3.5 – 4.49</w:t>
      </w:r>
      <w:r w:rsidRPr="006070FD">
        <w:rPr>
          <w:rFonts w:ascii="Times New Roman" w:eastAsia="Cambria" w:hAnsi="Times New Roman" w:cs="Times New Roman"/>
          <w:bCs/>
          <w:color w:val="000000"/>
          <w:kern w:val="0"/>
          <w:sz w:val="20"/>
          <w:szCs w:val="22"/>
          <w:lang w:val="en-PH"/>
          <w14:ligatures w14:val="none"/>
        </w:rPr>
        <w:tab/>
        <w:t>Confident to talk about it</w:t>
      </w:r>
    </w:p>
    <w:p w14:paraId="1BA4DD06" w14:textId="5220B393" w:rsidR="006070FD" w:rsidRPr="006070FD" w:rsidRDefault="006070FD" w:rsidP="006070FD">
      <w:pPr>
        <w:widowControl w:val="0"/>
        <w:spacing w:after="0" w:line="240" w:lineRule="auto"/>
        <w:ind w:left="2880"/>
        <w:jc w:val="both"/>
        <w:rPr>
          <w:rFonts w:ascii="Times New Roman" w:eastAsia="Cambria" w:hAnsi="Times New Roman" w:cs="Times New Roman"/>
          <w:bCs/>
          <w:color w:val="000000"/>
          <w:kern w:val="0"/>
          <w:sz w:val="20"/>
          <w:szCs w:val="22"/>
          <w:lang w:val="en-PH"/>
          <w14:ligatures w14:val="none"/>
        </w:rPr>
      </w:pPr>
      <w:r w:rsidRPr="006070FD">
        <w:rPr>
          <w:rFonts w:ascii="Times New Roman" w:eastAsia="Cambria" w:hAnsi="Times New Roman" w:cs="Times New Roman"/>
          <w:bCs/>
          <w:color w:val="000000"/>
          <w:kern w:val="0"/>
          <w:sz w:val="20"/>
          <w:szCs w:val="22"/>
          <w:lang w:val="en-PH"/>
          <w14:ligatures w14:val="none"/>
        </w:rPr>
        <w:t>4.5 – 5.0</w:t>
      </w:r>
      <w:r w:rsidRPr="006070FD">
        <w:rPr>
          <w:rFonts w:ascii="Times New Roman" w:eastAsia="Cambria" w:hAnsi="Times New Roman" w:cs="Times New Roman"/>
          <w:bCs/>
          <w:color w:val="000000"/>
          <w:kern w:val="0"/>
          <w:sz w:val="20"/>
          <w:szCs w:val="22"/>
          <w:lang w:val="en-PH"/>
          <w14:ligatures w14:val="none"/>
        </w:rPr>
        <w:tab/>
      </w:r>
      <w:r>
        <w:rPr>
          <w:rFonts w:ascii="Times New Roman" w:eastAsia="Cambria" w:hAnsi="Times New Roman" w:cs="Times New Roman"/>
          <w:bCs/>
          <w:color w:val="000000"/>
          <w:kern w:val="0"/>
          <w:sz w:val="20"/>
          <w:szCs w:val="22"/>
          <w:lang w:val="en-PH"/>
          <w14:ligatures w14:val="none"/>
        </w:rPr>
        <w:tab/>
      </w:r>
      <w:r w:rsidRPr="006070FD">
        <w:rPr>
          <w:rFonts w:ascii="Times New Roman" w:eastAsia="Cambria" w:hAnsi="Times New Roman" w:cs="Times New Roman"/>
          <w:bCs/>
          <w:color w:val="000000"/>
          <w:kern w:val="0"/>
          <w:sz w:val="20"/>
          <w:szCs w:val="22"/>
          <w:lang w:val="en-PH"/>
          <w14:ligatures w14:val="none"/>
        </w:rPr>
        <w:t>Can apply it to the work/output</w:t>
      </w:r>
    </w:p>
    <w:p w14:paraId="1EBFF3F7" w14:textId="77777777" w:rsidR="006070FD" w:rsidRPr="006070FD" w:rsidRDefault="006070FD" w:rsidP="006070FD">
      <w:pPr>
        <w:widowControl w:val="0"/>
        <w:spacing w:before="43" w:after="0" w:line="240" w:lineRule="auto"/>
        <w:ind w:left="2880"/>
        <w:jc w:val="both"/>
        <w:rPr>
          <w:rFonts w:ascii="Times New Roman" w:eastAsia="Cambria" w:hAnsi="Times New Roman" w:cs="Times New Roman"/>
          <w:bCs/>
          <w:color w:val="000000"/>
          <w:kern w:val="0"/>
          <w:sz w:val="22"/>
          <w:szCs w:val="22"/>
          <w:lang w:val="en-PH"/>
          <w14:ligatures w14:val="none"/>
        </w:rPr>
      </w:pPr>
    </w:p>
    <w:p w14:paraId="44FF1AD4" w14:textId="77777777" w:rsidR="006070FD" w:rsidRPr="006070FD" w:rsidRDefault="006070FD" w:rsidP="006070FD">
      <w:pPr>
        <w:widowControl w:val="0"/>
        <w:spacing w:before="43" w:after="0" w:line="240" w:lineRule="auto"/>
        <w:ind w:firstLine="720"/>
        <w:jc w:val="both"/>
        <w:rPr>
          <w:rFonts w:ascii="Times New Roman" w:eastAsia="Cambria" w:hAnsi="Times New Roman" w:cs="Times New Roman"/>
          <w:bCs/>
          <w:color w:val="000000"/>
          <w:kern w:val="0"/>
          <w:sz w:val="22"/>
          <w:szCs w:val="22"/>
          <w:lang w:val="en-PH"/>
          <w14:ligatures w14:val="none"/>
        </w:rPr>
      </w:pPr>
      <w:r w:rsidRPr="006070FD">
        <w:rPr>
          <w:rFonts w:ascii="Times New Roman" w:eastAsia="Cambria" w:hAnsi="Times New Roman" w:cs="Times New Roman"/>
          <w:bCs/>
          <w:color w:val="000000"/>
          <w:kern w:val="0"/>
          <w:sz w:val="22"/>
          <w:szCs w:val="22"/>
          <w:lang w:val="en-PH"/>
          <w14:ligatures w14:val="none"/>
        </w:rPr>
        <w:t xml:space="preserve">The result of the study was used as baseline information to craft the GAD Capability Building Program of Apayao State College. </w:t>
      </w:r>
    </w:p>
    <w:p w14:paraId="797022B7" w14:textId="77777777" w:rsidR="006070FD" w:rsidRDefault="006070FD" w:rsidP="006070FD">
      <w:pPr>
        <w:widowControl w:val="0"/>
        <w:spacing w:before="43" w:after="0" w:line="240" w:lineRule="auto"/>
        <w:jc w:val="both"/>
        <w:rPr>
          <w:rFonts w:ascii="Times New Roman" w:eastAsia="Cambria" w:hAnsi="Times New Roman" w:cs="Times New Roman"/>
          <w:b/>
          <w:color w:val="000000"/>
          <w:kern w:val="0"/>
          <w:sz w:val="22"/>
          <w:szCs w:val="22"/>
          <w:lang w:val="en-PH"/>
          <w14:ligatures w14:val="none"/>
        </w:rPr>
      </w:pPr>
    </w:p>
    <w:p w14:paraId="53504817" w14:textId="4745CE2D" w:rsidR="006070FD" w:rsidRPr="006070FD" w:rsidRDefault="006070FD" w:rsidP="006070FD">
      <w:pPr>
        <w:widowControl w:val="0"/>
        <w:spacing w:before="43" w:line="240" w:lineRule="auto"/>
        <w:jc w:val="both"/>
        <w:rPr>
          <w:rFonts w:ascii="Times New Roman" w:eastAsia="Cambria" w:hAnsi="Times New Roman" w:cs="Times New Roman"/>
          <w:b/>
          <w:color w:val="000000"/>
          <w:kern w:val="0"/>
          <w:sz w:val="22"/>
          <w:szCs w:val="22"/>
          <w:lang w:val="en-PH"/>
          <w14:ligatures w14:val="none"/>
        </w:rPr>
      </w:pPr>
      <w:r w:rsidRPr="006070FD">
        <w:rPr>
          <w:rFonts w:ascii="Times New Roman" w:eastAsia="Cambria" w:hAnsi="Times New Roman" w:cs="Times New Roman"/>
          <w:b/>
          <w:color w:val="000000"/>
          <w:kern w:val="0"/>
          <w:sz w:val="22"/>
          <w:szCs w:val="22"/>
          <w:lang w:val="en-PH"/>
          <w14:ligatures w14:val="none"/>
        </w:rPr>
        <w:t>RESULTS AND DISCUSSION</w:t>
      </w:r>
    </w:p>
    <w:p w14:paraId="7D504351" w14:textId="0C716611" w:rsidR="00843E64" w:rsidRDefault="006070FD" w:rsidP="00843E64">
      <w:pPr>
        <w:spacing w:line="259" w:lineRule="auto"/>
        <w:jc w:val="both"/>
        <w:rPr>
          <w:rFonts w:ascii="Times New Roman" w:eastAsia="Calibri" w:hAnsi="Times New Roman" w:cs="Times New Roman"/>
          <w:b/>
          <w:sz w:val="22"/>
          <w:szCs w:val="22"/>
          <w:lang w:val="en-PH"/>
          <w14:ligatures w14:val="none"/>
        </w:rPr>
      </w:pPr>
      <w:r>
        <w:rPr>
          <w:rFonts w:ascii="Times New Roman" w:eastAsia="Calibri" w:hAnsi="Times New Roman" w:cs="Times New Roman"/>
          <w:b/>
          <w:sz w:val="22"/>
          <w:szCs w:val="22"/>
          <w:lang w:val="en-PH"/>
          <w14:ligatures w14:val="none"/>
        </w:rPr>
        <w:t xml:space="preserve">1. </w:t>
      </w:r>
      <w:r w:rsidRPr="006070FD">
        <w:rPr>
          <w:rFonts w:ascii="Times New Roman" w:eastAsia="Calibri" w:hAnsi="Times New Roman" w:cs="Times New Roman"/>
          <w:b/>
          <w:sz w:val="22"/>
          <w:szCs w:val="22"/>
          <w:lang w:val="en-PH"/>
          <w14:ligatures w14:val="none"/>
        </w:rPr>
        <w:t>Demographic Profile of GFPS Members</w:t>
      </w:r>
    </w:p>
    <w:p w14:paraId="11371EB9" w14:textId="0B337BFB" w:rsidR="006070FD" w:rsidRPr="00843E64" w:rsidRDefault="006070FD" w:rsidP="00843E64">
      <w:pPr>
        <w:spacing w:after="0" w:line="259" w:lineRule="auto"/>
        <w:jc w:val="both"/>
        <w:rPr>
          <w:rFonts w:ascii="Times New Roman" w:eastAsia="Calibri" w:hAnsi="Times New Roman" w:cs="Times New Roman"/>
          <w:b/>
          <w:sz w:val="22"/>
          <w:szCs w:val="22"/>
          <w:lang w:val="en-PH"/>
          <w14:ligatures w14:val="none"/>
        </w:rPr>
      </w:pPr>
      <w:r w:rsidRPr="00B5277D">
        <w:rPr>
          <w:rFonts w:ascii="Times New Roman" w:eastAsia="Calibri" w:hAnsi="Times New Roman" w:cs="Times New Roman"/>
          <w:bCs/>
          <w:iCs/>
          <w:sz w:val="20"/>
          <w:szCs w:val="22"/>
          <w:lang w:val="en-PH"/>
          <w14:ligatures w14:val="none"/>
        </w:rPr>
        <w:t>Table 1.</w:t>
      </w:r>
      <w:r w:rsidRPr="00B5277D">
        <w:rPr>
          <w:rFonts w:ascii="Times New Roman" w:eastAsia="Calibri" w:hAnsi="Times New Roman" w:cs="Times New Roman"/>
          <w:bCs/>
          <w:i/>
          <w:iCs/>
          <w:sz w:val="20"/>
          <w:szCs w:val="22"/>
          <w:lang w:val="en-PH"/>
          <w14:ligatures w14:val="none"/>
        </w:rPr>
        <w:t xml:space="preserve"> Distribution of GFPS members according to Demographic Profile Variables</w:t>
      </w:r>
    </w:p>
    <w:tbl>
      <w:tblPr>
        <w:tblStyle w:val="TableGrid"/>
        <w:tblW w:w="0" w:type="auto"/>
        <w:tblInd w:w="137" w:type="dxa"/>
        <w:tblLook w:val="0000" w:firstRow="0" w:lastRow="0" w:firstColumn="0" w:lastColumn="0" w:noHBand="0" w:noVBand="0"/>
      </w:tblPr>
      <w:tblGrid>
        <w:gridCol w:w="4371"/>
        <w:gridCol w:w="1975"/>
        <w:gridCol w:w="2533"/>
      </w:tblGrid>
      <w:tr w:rsidR="006070FD" w:rsidRPr="00B5277D" w14:paraId="4CF2B8A2" w14:textId="77777777" w:rsidTr="00B5277D">
        <w:tc>
          <w:tcPr>
            <w:tcW w:w="4371" w:type="dxa"/>
            <w:vAlign w:val="center"/>
          </w:tcPr>
          <w:p w14:paraId="0AA267D1"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Variable</w:t>
            </w:r>
          </w:p>
        </w:tc>
        <w:tc>
          <w:tcPr>
            <w:tcW w:w="1975" w:type="dxa"/>
          </w:tcPr>
          <w:p w14:paraId="137570C7"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Frequency</w:t>
            </w:r>
          </w:p>
          <w:p w14:paraId="1B745072"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N=44</w:t>
            </w:r>
          </w:p>
        </w:tc>
        <w:tc>
          <w:tcPr>
            <w:tcW w:w="2533" w:type="dxa"/>
          </w:tcPr>
          <w:p w14:paraId="583EEA32"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 xml:space="preserve">Percentage </w:t>
            </w:r>
          </w:p>
          <w:p w14:paraId="00AB76A1"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 xml:space="preserve">(%) </w:t>
            </w:r>
          </w:p>
        </w:tc>
      </w:tr>
      <w:tr w:rsidR="006070FD" w:rsidRPr="00B5277D" w14:paraId="30722377" w14:textId="77777777" w:rsidTr="00B5277D">
        <w:tc>
          <w:tcPr>
            <w:tcW w:w="4371" w:type="dxa"/>
          </w:tcPr>
          <w:p w14:paraId="16A1F6E5" w14:textId="77777777" w:rsidR="006070FD" w:rsidRPr="00B5277D" w:rsidRDefault="006070FD" w:rsidP="006070FD">
            <w:pPr>
              <w:tabs>
                <w:tab w:val="left" w:pos="3084"/>
              </w:tabs>
              <w:rPr>
                <w:rFonts w:eastAsia="Calibri"/>
                <w:bCs/>
                <w:szCs w:val="22"/>
                <w:lang w:val="en-PH"/>
              </w:rPr>
            </w:pPr>
            <w:r w:rsidRPr="00B5277D">
              <w:rPr>
                <w:rFonts w:eastAsia="Calibri"/>
                <w:bCs/>
                <w:szCs w:val="22"/>
                <w:lang w:val="en-PH"/>
              </w:rPr>
              <w:t>Sex</w:t>
            </w:r>
          </w:p>
        </w:tc>
        <w:tc>
          <w:tcPr>
            <w:tcW w:w="1975" w:type="dxa"/>
          </w:tcPr>
          <w:p w14:paraId="5E897E8A" w14:textId="77777777" w:rsidR="006070FD" w:rsidRPr="00B5277D" w:rsidRDefault="006070FD" w:rsidP="006070FD">
            <w:pPr>
              <w:tabs>
                <w:tab w:val="left" w:pos="3084"/>
              </w:tabs>
              <w:jc w:val="center"/>
              <w:rPr>
                <w:rFonts w:eastAsia="Calibri"/>
                <w:szCs w:val="22"/>
                <w:lang w:val="en-PH"/>
              </w:rPr>
            </w:pPr>
          </w:p>
        </w:tc>
        <w:tc>
          <w:tcPr>
            <w:tcW w:w="2533" w:type="dxa"/>
          </w:tcPr>
          <w:p w14:paraId="5BC85BAF" w14:textId="77777777" w:rsidR="006070FD" w:rsidRPr="00B5277D" w:rsidRDefault="006070FD" w:rsidP="006070FD">
            <w:pPr>
              <w:tabs>
                <w:tab w:val="left" w:pos="3084"/>
              </w:tabs>
              <w:jc w:val="center"/>
              <w:rPr>
                <w:rFonts w:eastAsia="Calibri"/>
                <w:szCs w:val="22"/>
                <w:lang w:val="en-PH"/>
              </w:rPr>
            </w:pPr>
          </w:p>
        </w:tc>
      </w:tr>
      <w:tr w:rsidR="006070FD" w:rsidRPr="00B5277D" w14:paraId="6866D467" w14:textId="77777777" w:rsidTr="00B5277D">
        <w:tc>
          <w:tcPr>
            <w:tcW w:w="4371" w:type="dxa"/>
          </w:tcPr>
          <w:p w14:paraId="25C74C5F" w14:textId="74BF928D" w:rsidR="006070FD" w:rsidRPr="00B5277D" w:rsidRDefault="00B5277D" w:rsidP="00B5277D">
            <w:pPr>
              <w:tabs>
                <w:tab w:val="left" w:pos="964"/>
                <w:tab w:val="center" w:pos="2077"/>
                <w:tab w:val="left" w:pos="3084"/>
              </w:tabs>
              <w:rPr>
                <w:rFonts w:eastAsia="Calibri"/>
                <w:szCs w:val="22"/>
                <w:lang w:val="en-PH"/>
              </w:rPr>
            </w:pPr>
            <w:r>
              <w:rPr>
                <w:rFonts w:eastAsia="Calibri"/>
                <w:szCs w:val="22"/>
                <w:lang w:val="en-PH"/>
              </w:rPr>
              <w:tab/>
            </w:r>
            <w:r>
              <w:rPr>
                <w:rFonts w:eastAsia="Calibri"/>
                <w:szCs w:val="22"/>
                <w:lang w:val="en-PH"/>
              </w:rPr>
              <w:tab/>
            </w:r>
            <w:r w:rsidR="006070FD" w:rsidRPr="00B5277D">
              <w:rPr>
                <w:rFonts w:eastAsia="Calibri"/>
                <w:szCs w:val="22"/>
                <w:lang w:val="en-PH"/>
              </w:rPr>
              <w:t>Male</w:t>
            </w:r>
          </w:p>
        </w:tc>
        <w:tc>
          <w:tcPr>
            <w:tcW w:w="1975" w:type="dxa"/>
          </w:tcPr>
          <w:p w14:paraId="69C99E91"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20</w:t>
            </w:r>
          </w:p>
        </w:tc>
        <w:tc>
          <w:tcPr>
            <w:tcW w:w="2533" w:type="dxa"/>
          </w:tcPr>
          <w:p w14:paraId="76D51A82"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45.45</w:t>
            </w:r>
          </w:p>
        </w:tc>
      </w:tr>
      <w:tr w:rsidR="006070FD" w:rsidRPr="00B5277D" w14:paraId="5816BA76" w14:textId="77777777" w:rsidTr="00B5277D">
        <w:tc>
          <w:tcPr>
            <w:tcW w:w="4371" w:type="dxa"/>
          </w:tcPr>
          <w:p w14:paraId="4BEF51E7"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Female</w:t>
            </w:r>
          </w:p>
        </w:tc>
        <w:tc>
          <w:tcPr>
            <w:tcW w:w="1975" w:type="dxa"/>
          </w:tcPr>
          <w:p w14:paraId="3725E6A2"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24</w:t>
            </w:r>
          </w:p>
        </w:tc>
        <w:tc>
          <w:tcPr>
            <w:tcW w:w="2533" w:type="dxa"/>
          </w:tcPr>
          <w:p w14:paraId="440D94EA"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54.55</w:t>
            </w:r>
          </w:p>
        </w:tc>
      </w:tr>
      <w:tr w:rsidR="006070FD" w:rsidRPr="00B5277D" w14:paraId="4E34C30D" w14:textId="77777777" w:rsidTr="00B5277D">
        <w:tc>
          <w:tcPr>
            <w:tcW w:w="4371" w:type="dxa"/>
          </w:tcPr>
          <w:p w14:paraId="7AFC1875" w14:textId="77777777" w:rsidR="006070FD" w:rsidRPr="00B5277D" w:rsidRDefault="006070FD" w:rsidP="006070FD">
            <w:pPr>
              <w:tabs>
                <w:tab w:val="left" w:pos="3084"/>
              </w:tabs>
              <w:rPr>
                <w:rFonts w:eastAsia="Calibri"/>
                <w:bCs/>
                <w:szCs w:val="22"/>
                <w:lang w:val="en-PH"/>
              </w:rPr>
            </w:pPr>
            <w:r w:rsidRPr="00B5277D">
              <w:rPr>
                <w:rFonts w:eastAsia="Calibri"/>
                <w:bCs/>
                <w:szCs w:val="22"/>
                <w:lang w:val="en-PH"/>
              </w:rPr>
              <w:t>Age</w:t>
            </w:r>
          </w:p>
        </w:tc>
        <w:tc>
          <w:tcPr>
            <w:tcW w:w="1975" w:type="dxa"/>
          </w:tcPr>
          <w:p w14:paraId="3443274E" w14:textId="77777777" w:rsidR="006070FD" w:rsidRPr="00B5277D" w:rsidRDefault="006070FD" w:rsidP="006070FD">
            <w:pPr>
              <w:tabs>
                <w:tab w:val="left" w:pos="3084"/>
              </w:tabs>
              <w:jc w:val="center"/>
              <w:rPr>
                <w:rFonts w:eastAsia="Calibri"/>
                <w:bCs/>
                <w:szCs w:val="22"/>
                <w:lang w:val="en-PH"/>
              </w:rPr>
            </w:pPr>
          </w:p>
        </w:tc>
        <w:tc>
          <w:tcPr>
            <w:tcW w:w="2533" w:type="dxa"/>
          </w:tcPr>
          <w:p w14:paraId="0F47BD45" w14:textId="77777777" w:rsidR="006070FD" w:rsidRPr="00B5277D" w:rsidRDefault="006070FD" w:rsidP="006070FD">
            <w:pPr>
              <w:tabs>
                <w:tab w:val="left" w:pos="3084"/>
              </w:tabs>
              <w:jc w:val="center"/>
              <w:rPr>
                <w:rFonts w:eastAsia="Calibri"/>
                <w:bCs/>
                <w:szCs w:val="22"/>
                <w:lang w:val="en-PH"/>
              </w:rPr>
            </w:pPr>
          </w:p>
        </w:tc>
      </w:tr>
      <w:tr w:rsidR="006070FD" w:rsidRPr="00B5277D" w14:paraId="4885F5A3" w14:textId="77777777" w:rsidTr="00B5277D">
        <w:tc>
          <w:tcPr>
            <w:tcW w:w="4371" w:type="dxa"/>
          </w:tcPr>
          <w:p w14:paraId="592BB265"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21 – 30</w:t>
            </w:r>
          </w:p>
        </w:tc>
        <w:tc>
          <w:tcPr>
            <w:tcW w:w="1975" w:type="dxa"/>
          </w:tcPr>
          <w:p w14:paraId="7C67C360"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8</w:t>
            </w:r>
          </w:p>
        </w:tc>
        <w:tc>
          <w:tcPr>
            <w:tcW w:w="2533" w:type="dxa"/>
          </w:tcPr>
          <w:p w14:paraId="33BF2F4A"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18.18</w:t>
            </w:r>
          </w:p>
        </w:tc>
      </w:tr>
      <w:tr w:rsidR="006070FD" w:rsidRPr="00B5277D" w14:paraId="0EBE9E5D" w14:textId="77777777" w:rsidTr="00B5277D">
        <w:tc>
          <w:tcPr>
            <w:tcW w:w="4371" w:type="dxa"/>
          </w:tcPr>
          <w:p w14:paraId="562D3A31"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31 – 40</w:t>
            </w:r>
          </w:p>
        </w:tc>
        <w:tc>
          <w:tcPr>
            <w:tcW w:w="1975" w:type="dxa"/>
          </w:tcPr>
          <w:p w14:paraId="201E4AAF"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12</w:t>
            </w:r>
          </w:p>
        </w:tc>
        <w:tc>
          <w:tcPr>
            <w:tcW w:w="2533" w:type="dxa"/>
          </w:tcPr>
          <w:p w14:paraId="4523F018"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27.27</w:t>
            </w:r>
          </w:p>
        </w:tc>
      </w:tr>
      <w:tr w:rsidR="006070FD" w:rsidRPr="00B5277D" w14:paraId="6B8F71C7" w14:textId="77777777" w:rsidTr="00B5277D">
        <w:tc>
          <w:tcPr>
            <w:tcW w:w="4371" w:type="dxa"/>
          </w:tcPr>
          <w:p w14:paraId="41CE20DD"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41 – 50</w:t>
            </w:r>
          </w:p>
        </w:tc>
        <w:tc>
          <w:tcPr>
            <w:tcW w:w="1975" w:type="dxa"/>
          </w:tcPr>
          <w:p w14:paraId="1BCF9847"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13</w:t>
            </w:r>
          </w:p>
        </w:tc>
        <w:tc>
          <w:tcPr>
            <w:tcW w:w="2533" w:type="dxa"/>
          </w:tcPr>
          <w:p w14:paraId="0611950B"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29.55</w:t>
            </w:r>
          </w:p>
        </w:tc>
      </w:tr>
      <w:tr w:rsidR="006070FD" w:rsidRPr="00B5277D" w14:paraId="6A0C1767" w14:textId="77777777" w:rsidTr="00B5277D">
        <w:tc>
          <w:tcPr>
            <w:tcW w:w="4371" w:type="dxa"/>
          </w:tcPr>
          <w:p w14:paraId="790CD4A1"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51 – 60</w:t>
            </w:r>
          </w:p>
        </w:tc>
        <w:tc>
          <w:tcPr>
            <w:tcW w:w="1975" w:type="dxa"/>
          </w:tcPr>
          <w:p w14:paraId="7C460FB5"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11</w:t>
            </w:r>
          </w:p>
        </w:tc>
        <w:tc>
          <w:tcPr>
            <w:tcW w:w="2533" w:type="dxa"/>
          </w:tcPr>
          <w:p w14:paraId="26D59043"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25.00</w:t>
            </w:r>
          </w:p>
        </w:tc>
      </w:tr>
      <w:tr w:rsidR="006070FD" w:rsidRPr="00B5277D" w14:paraId="18C93C6E" w14:textId="77777777" w:rsidTr="00B5277D">
        <w:tc>
          <w:tcPr>
            <w:tcW w:w="4371" w:type="dxa"/>
          </w:tcPr>
          <w:p w14:paraId="6CEACC0B"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61 – 65</w:t>
            </w:r>
          </w:p>
        </w:tc>
        <w:tc>
          <w:tcPr>
            <w:tcW w:w="1975" w:type="dxa"/>
          </w:tcPr>
          <w:p w14:paraId="06A2A4FB"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0</w:t>
            </w:r>
          </w:p>
        </w:tc>
        <w:tc>
          <w:tcPr>
            <w:tcW w:w="2533" w:type="dxa"/>
          </w:tcPr>
          <w:p w14:paraId="289FE2B7"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0</w:t>
            </w:r>
          </w:p>
        </w:tc>
      </w:tr>
      <w:tr w:rsidR="006070FD" w:rsidRPr="00B5277D" w14:paraId="5ECFB5A2" w14:textId="77777777" w:rsidTr="00B5277D">
        <w:tc>
          <w:tcPr>
            <w:tcW w:w="4371" w:type="dxa"/>
          </w:tcPr>
          <w:p w14:paraId="7B201968" w14:textId="77777777" w:rsidR="006070FD" w:rsidRPr="00B5277D" w:rsidRDefault="006070FD" w:rsidP="006070FD">
            <w:pPr>
              <w:tabs>
                <w:tab w:val="left" w:pos="3084"/>
              </w:tabs>
              <w:rPr>
                <w:rFonts w:eastAsia="Calibri"/>
                <w:bCs/>
                <w:szCs w:val="22"/>
                <w:lang w:val="en-PH"/>
              </w:rPr>
            </w:pPr>
            <w:r w:rsidRPr="00B5277D">
              <w:rPr>
                <w:rFonts w:eastAsia="Calibri"/>
                <w:bCs/>
                <w:szCs w:val="22"/>
                <w:lang w:val="en-PH"/>
              </w:rPr>
              <w:t>Educational Attainment</w:t>
            </w:r>
          </w:p>
        </w:tc>
        <w:tc>
          <w:tcPr>
            <w:tcW w:w="1975" w:type="dxa"/>
          </w:tcPr>
          <w:p w14:paraId="197B95A2" w14:textId="77777777" w:rsidR="006070FD" w:rsidRPr="00B5277D" w:rsidRDefault="006070FD" w:rsidP="006070FD">
            <w:pPr>
              <w:tabs>
                <w:tab w:val="left" w:pos="3084"/>
              </w:tabs>
              <w:jc w:val="center"/>
              <w:rPr>
                <w:rFonts w:eastAsia="Calibri"/>
                <w:szCs w:val="22"/>
                <w:lang w:val="en-PH"/>
              </w:rPr>
            </w:pPr>
          </w:p>
        </w:tc>
        <w:tc>
          <w:tcPr>
            <w:tcW w:w="2533" w:type="dxa"/>
          </w:tcPr>
          <w:p w14:paraId="35281C3A" w14:textId="77777777" w:rsidR="006070FD" w:rsidRPr="00B5277D" w:rsidRDefault="006070FD" w:rsidP="006070FD">
            <w:pPr>
              <w:tabs>
                <w:tab w:val="left" w:pos="3084"/>
              </w:tabs>
              <w:jc w:val="center"/>
              <w:rPr>
                <w:rFonts w:eastAsia="Calibri"/>
                <w:szCs w:val="22"/>
                <w:lang w:val="en-PH"/>
              </w:rPr>
            </w:pPr>
          </w:p>
        </w:tc>
      </w:tr>
      <w:tr w:rsidR="006070FD" w:rsidRPr="00B5277D" w14:paraId="537214A6" w14:textId="77777777" w:rsidTr="00B5277D">
        <w:tc>
          <w:tcPr>
            <w:tcW w:w="4371" w:type="dxa"/>
          </w:tcPr>
          <w:p w14:paraId="6177FC83"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Bachelor’s Degree</w:t>
            </w:r>
          </w:p>
        </w:tc>
        <w:tc>
          <w:tcPr>
            <w:tcW w:w="1975" w:type="dxa"/>
          </w:tcPr>
          <w:p w14:paraId="531F26AC"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8</w:t>
            </w:r>
          </w:p>
        </w:tc>
        <w:tc>
          <w:tcPr>
            <w:tcW w:w="2533" w:type="dxa"/>
          </w:tcPr>
          <w:p w14:paraId="6D1B82B4"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18.18</w:t>
            </w:r>
          </w:p>
        </w:tc>
      </w:tr>
      <w:tr w:rsidR="006070FD" w:rsidRPr="00B5277D" w14:paraId="076FC2CE" w14:textId="77777777" w:rsidTr="00B5277D">
        <w:tc>
          <w:tcPr>
            <w:tcW w:w="4371" w:type="dxa"/>
          </w:tcPr>
          <w:p w14:paraId="5A8EF573"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Master’s Degree</w:t>
            </w:r>
          </w:p>
        </w:tc>
        <w:tc>
          <w:tcPr>
            <w:tcW w:w="1975" w:type="dxa"/>
          </w:tcPr>
          <w:p w14:paraId="396B321E"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24</w:t>
            </w:r>
          </w:p>
        </w:tc>
        <w:tc>
          <w:tcPr>
            <w:tcW w:w="2533" w:type="dxa"/>
          </w:tcPr>
          <w:p w14:paraId="606E6D9B"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54.55</w:t>
            </w:r>
          </w:p>
        </w:tc>
      </w:tr>
      <w:tr w:rsidR="006070FD" w:rsidRPr="00B5277D" w14:paraId="647E165C" w14:textId="77777777" w:rsidTr="00B5277D">
        <w:tc>
          <w:tcPr>
            <w:tcW w:w="4371" w:type="dxa"/>
          </w:tcPr>
          <w:p w14:paraId="65911719"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Doctoral Degree</w:t>
            </w:r>
          </w:p>
        </w:tc>
        <w:tc>
          <w:tcPr>
            <w:tcW w:w="1975" w:type="dxa"/>
          </w:tcPr>
          <w:p w14:paraId="0A30181D"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12</w:t>
            </w:r>
          </w:p>
        </w:tc>
        <w:tc>
          <w:tcPr>
            <w:tcW w:w="2533" w:type="dxa"/>
          </w:tcPr>
          <w:p w14:paraId="7219D7F0"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27.27</w:t>
            </w:r>
          </w:p>
        </w:tc>
      </w:tr>
      <w:tr w:rsidR="006070FD" w:rsidRPr="00B5277D" w14:paraId="227424E6" w14:textId="77777777" w:rsidTr="00B5277D">
        <w:tc>
          <w:tcPr>
            <w:tcW w:w="4371" w:type="dxa"/>
          </w:tcPr>
          <w:p w14:paraId="542CB125" w14:textId="77777777" w:rsidR="006070FD" w:rsidRPr="00B5277D" w:rsidRDefault="006070FD" w:rsidP="006070FD">
            <w:pPr>
              <w:tabs>
                <w:tab w:val="left" w:pos="3084"/>
              </w:tabs>
              <w:rPr>
                <w:rFonts w:eastAsia="Calibri"/>
                <w:szCs w:val="22"/>
                <w:lang w:val="en-PH"/>
              </w:rPr>
            </w:pPr>
            <w:r w:rsidRPr="00B5277D">
              <w:rPr>
                <w:rFonts w:eastAsia="Calibri"/>
                <w:szCs w:val="22"/>
                <w:lang w:val="en-PH"/>
              </w:rPr>
              <w:t>Position</w:t>
            </w:r>
          </w:p>
        </w:tc>
        <w:tc>
          <w:tcPr>
            <w:tcW w:w="1975" w:type="dxa"/>
          </w:tcPr>
          <w:p w14:paraId="5194BD98" w14:textId="77777777" w:rsidR="006070FD" w:rsidRPr="00B5277D" w:rsidRDefault="006070FD" w:rsidP="006070FD">
            <w:pPr>
              <w:tabs>
                <w:tab w:val="left" w:pos="3084"/>
              </w:tabs>
              <w:jc w:val="center"/>
              <w:rPr>
                <w:rFonts w:eastAsia="Calibri"/>
                <w:szCs w:val="22"/>
                <w:lang w:val="en-PH"/>
              </w:rPr>
            </w:pPr>
          </w:p>
        </w:tc>
        <w:tc>
          <w:tcPr>
            <w:tcW w:w="2533" w:type="dxa"/>
          </w:tcPr>
          <w:p w14:paraId="523A524D" w14:textId="77777777" w:rsidR="006070FD" w:rsidRPr="00B5277D" w:rsidRDefault="006070FD" w:rsidP="006070FD">
            <w:pPr>
              <w:tabs>
                <w:tab w:val="left" w:pos="3084"/>
              </w:tabs>
              <w:jc w:val="center"/>
              <w:rPr>
                <w:rFonts w:eastAsia="Calibri"/>
                <w:szCs w:val="22"/>
                <w:lang w:val="en-PH"/>
              </w:rPr>
            </w:pPr>
          </w:p>
        </w:tc>
      </w:tr>
      <w:tr w:rsidR="006070FD" w:rsidRPr="00B5277D" w14:paraId="0CD8489A" w14:textId="77777777" w:rsidTr="00B5277D">
        <w:tc>
          <w:tcPr>
            <w:tcW w:w="4371" w:type="dxa"/>
          </w:tcPr>
          <w:p w14:paraId="5CB8459F"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Instructor</w:t>
            </w:r>
          </w:p>
        </w:tc>
        <w:tc>
          <w:tcPr>
            <w:tcW w:w="1975" w:type="dxa"/>
          </w:tcPr>
          <w:p w14:paraId="2453DC33"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3</w:t>
            </w:r>
          </w:p>
        </w:tc>
        <w:tc>
          <w:tcPr>
            <w:tcW w:w="2533" w:type="dxa"/>
          </w:tcPr>
          <w:p w14:paraId="40335889"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6.82</w:t>
            </w:r>
          </w:p>
        </w:tc>
      </w:tr>
      <w:tr w:rsidR="006070FD" w:rsidRPr="00B5277D" w14:paraId="69E4424B" w14:textId="77777777" w:rsidTr="00B5277D">
        <w:tc>
          <w:tcPr>
            <w:tcW w:w="4371" w:type="dxa"/>
          </w:tcPr>
          <w:p w14:paraId="606604B3"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Assistant Professor</w:t>
            </w:r>
          </w:p>
        </w:tc>
        <w:tc>
          <w:tcPr>
            <w:tcW w:w="1975" w:type="dxa"/>
          </w:tcPr>
          <w:p w14:paraId="44CF2F2D"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10</w:t>
            </w:r>
          </w:p>
        </w:tc>
        <w:tc>
          <w:tcPr>
            <w:tcW w:w="2533" w:type="dxa"/>
          </w:tcPr>
          <w:p w14:paraId="5B51BD9E"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22.73</w:t>
            </w:r>
          </w:p>
        </w:tc>
      </w:tr>
      <w:tr w:rsidR="006070FD" w:rsidRPr="00B5277D" w14:paraId="7E98BB3D" w14:textId="77777777" w:rsidTr="00B5277D">
        <w:tc>
          <w:tcPr>
            <w:tcW w:w="4371" w:type="dxa"/>
          </w:tcPr>
          <w:p w14:paraId="74D026A9"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Associate Professor</w:t>
            </w:r>
          </w:p>
        </w:tc>
        <w:tc>
          <w:tcPr>
            <w:tcW w:w="1975" w:type="dxa"/>
          </w:tcPr>
          <w:p w14:paraId="7068256A"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13</w:t>
            </w:r>
          </w:p>
        </w:tc>
        <w:tc>
          <w:tcPr>
            <w:tcW w:w="2533" w:type="dxa"/>
          </w:tcPr>
          <w:p w14:paraId="667055CE"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29.55</w:t>
            </w:r>
          </w:p>
        </w:tc>
      </w:tr>
      <w:tr w:rsidR="006070FD" w:rsidRPr="00B5277D" w14:paraId="1AE41908" w14:textId="77777777" w:rsidTr="00B5277D">
        <w:tc>
          <w:tcPr>
            <w:tcW w:w="4371" w:type="dxa"/>
          </w:tcPr>
          <w:p w14:paraId="44541995"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Professor</w:t>
            </w:r>
          </w:p>
        </w:tc>
        <w:tc>
          <w:tcPr>
            <w:tcW w:w="1975" w:type="dxa"/>
          </w:tcPr>
          <w:p w14:paraId="69663DDF"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4</w:t>
            </w:r>
          </w:p>
        </w:tc>
        <w:tc>
          <w:tcPr>
            <w:tcW w:w="2533" w:type="dxa"/>
          </w:tcPr>
          <w:p w14:paraId="12607E90"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9.09</w:t>
            </w:r>
          </w:p>
        </w:tc>
      </w:tr>
      <w:tr w:rsidR="006070FD" w:rsidRPr="00B5277D" w14:paraId="468E07F6" w14:textId="77777777" w:rsidTr="00B5277D">
        <w:tc>
          <w:tcPr>
            <w:tcW w:w="4371" w:type="dxa"/>
          </w:tcPr>
          <w:p w14:paraId="3BA0FCA8"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Administrative Officer</w:t>
            </w:r>
          </w:p>
        </w:tc>
        <w:tc>
          <w:tcPr>
            <w:tcW w:w="1975" w:type="dxa"/>
          </w:tcPr>
          <w:p w14:paraId="2A098E14"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8</w:t>
            </w:r>
          </w:p>
        </w:tc>
        <w:tc>
          <w:tcPr>
            <w:tcW w:w="2533" w:type="dxa"/>
          </w:tcPr>
          <w:p w14:paraId="4B9C4EF6"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18.18</w:t>
            </w:r>
          </w:p>
        </w:tc>
      </w:tr>
      <w:tr w:rsidR="006070FD" w:rsidRPr="00B5277D" w14:paraId="4AC28623" w14:textId="77777777" w:rsidTr="00B5277D">
        <w:tc>
          <w:tcPr>
            <w:tcW w:w="4371" w:type="dxa"/>
          </w:tcPr>
          <w:p w14:paraId="51D444FA"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Administrative Staff</w:t>
            </w:r>
          </w:p>
        </w:tc>
        <w:tc>
          <w:tcPr>
            <w:tcW w:w="1975" w:type="dxa"/>
          </w:tcPr>
          <w:p w14:paraId="57671824"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6</w:t>
            </w:r>
          </w:p>
        </w:tc>
        <w:tc>
          <w:tcPr>
            <w:tcW w:w="2533" w:type="dxa"/>
          </w:tcPr>
          <w:p w14:paraId="2915F772"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13.64</w:t>
            </w:r>
          </w:p>
        </w:tc>
      </w:tr>
      <w:tr w:rsidR="006070FD" w:rsidRPr="00B5277D" w14:paraId="018BF510" w14:textId="77777777" w:rsidTr="00B5277D">
        <w:tc>
          <w:tcPr>
            <w:tcW w:w="4371" w:type="dxa"/>
          </w:tcPr>
          <w:p w14:paraId="23A0CF9F" w14:textId="77777777" w:rsidR="006070FD" w:rsidRPr="00B5277D" w:rsidRDefault="006070FD" w:rsidP="006070FD">
            <w:pPr>
              <w:tabs>
                <w:tab w:val="left" w:pos="3084"/>
              </w:tabs>
              <w:rPr>
                <w:rFonts w:eastAsia="Calibri"/>
                <w:szCs w:val="22"/>
                <w:lang w:val="en-PH"/>
              </w:rPr>
            </w:pPr>
            <w:r w:rsidRPr="00B5277D">
              <w:rPr>
                <w:rFonts w:eastAsia="Calibri"/>
                <w:szCs w:val="22"/>
                <w:lang w:val="en-PH"/>
              </w:rPr>
              <w:t xml:space="preserve">GFPS Committee </w:t>
            </w:r>
          </w:p>
        </w:tc>
        <w:tc>
          <w:tcPr>
            <w:tcW w:w="1975" w:type="dxa"/>
          </w:tcPr>
          <w:p w14:paraId="6B49D79B" w14:textId="77777777" w:rsidR="006070FD" w:rsidRPr="00B5277D" w:rsidRDefault="006070FD" w:rsidP="006070FD">
            <w:pPr>
              <w:tabs>
                <w:tab w:val="left" w:pos="3084"/>
              </w:tabs>
              <w:jc w:val="center"/>
              <w:rPr>
                <w:rFonts w:eastAsia="Calibri"/>
                <w:szCs w:val="22"/>
                <w:lang w:val="en-PH"/>
              </w:rPr>
            </w:pPr>
          </w:p>
        </w:tc>
        <w:tc>
          <w:tcPr>
            <w:tcW w:w="2533" w:type="dxa"/>
          </w:tcPr>
          <w:p w14:paraId="0AE15524" w14:textId="77777777" w:rsidR="006070FD" w:rsidRPr="00B5277D" w:rsidRDefault="006070FD" w:rsidP="006070FD">
            <w:pPr>
              <w:tabs>
                <w:tab w:val="left" w:pos="3084"/>
              </w:tabs>
              <w:jc w:val="center"/>
              <w:rPr>
                <w:rFonts w:eastAsia="Calibri"/>
                <w:szCs w:val="22"/>
                <w:lang w:val="en-PH"/>
              </w:rPr>
            </w:pPr>
          </w:p>
        </w:tc>
      </w:tr>
      <w:tr w:rsidR="006070FD" w:rsidRPr="00B5277D" w14:paraId="71CE3F71" w14:textId="77777777" w:rsidTr="00B5277D">
        <w:tc>
          <w:tcPr>
            <w:tcW w:w="4371" w:type="dxa"/>
          </w:tcPr>
          <w:p w14:paraId="71451604"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Executive Committee</w:t>
            </w:r>
          </w:p>
        </w:tc>
        <w:tc>
          <w:tcPr>
            <w:tcW w:w="1975" w:type="dxa"/>
          </w:tcPr>
          <w:p w14:paraId="026A81EE"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4</w:t>
            </w:r>
          </w:p>
        </w:tc>
        <w:tc>
          <w:tcPr>
            <w:tcW w:w="2533" w:type="dxa"/>
          </w:tcPr>
          <w:p w14:paraId="4B074AD2"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9.09</w:t>
            </w:r>
          </w:p>
        </w:tc>
      </w:tr>
      <w:tr w:rsidR="006070FD" w:rsidRPr="00B5277D" w14:paraId="0AA95B9C" w14:textId="77777777" w:rsidTr="00B5277D">
        <w:tc>
          <w:tcPr>
            <w:tcW w:w="4371" w:type="dxa"/>
          </w:tcPr>
          <w:p w14:paraId="1064CB23"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Technical Working Group Committee</w:t>
            </w:r>
          </w:p>
        </w:tc>
        <w:tc>
          <w:tcPr>
            <w:tcW w:w="1975" w:type="dxa"/>
          </w:tcPr>
          <w:p w14:paraId="05D1C593"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35</w:t>
            </w:r>
          </w:p>
        </w:tc>
        <w:tc>
          <w:tcPr>
            <w:tcW w:w="2533" w:type="dxa"/>
          </w:tcPr>
          <w:p w14:paraId="5B95534B"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79.55</w:t>
            </w:r>
          </w:p>
        </w:tc>
      </w:tr>
      <w:tr w:rsidR="006070FD" w:rsidRPr="00B5277D" w14:paraId="7DC6500A" w14:textId="77777777" w:rsidTr="00B5277D">
        <w:tc>
          <w:tcPr>
            <w:tcW w:w="4371" w:type="dxa"/>
          </w:tcPr>
          <w:p w14:paraId="1E2C30B6"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Secretariat</w:t>
            </w:r>
          </w:p>
        </w:tc>
        <w:tc>
          <w:tcPr>
            <w:tcW w:w="1975" w:type="dxa"/>
          </w:tcPr>
          <w:p w14:paraId="20558312"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5</w:t>
            </w:r>
          </w:p>
        </w:tc>
        <w:tc>
          <w:tcPr>
            <w:tcW w:w="2533" w:type="dxa"/>
          </w:tcPr>
          <w:p w14:paraId="0B9211EC"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11.36</w:t>
            </w:r>
          </w:p>
        </w:tc>
      </w:tr>
      <w:tr w:rsidR="006070FD" w:rsidRPr="00B5277D" w14:paraId="315F2879" w14:textId="77777777" w:rsidTr="00B5277D">
        <w:tc>
          <w:tcPr>
            <w:tcW w:w="4371" w:type="dxa"/>
          </w:tcPr>
          <w:p w14:paraId="3BF99083" w14:textId="77777777" w:rsidR="006070FD" w:rsidRPr="00B5277D" w:rsidRDefault="006070FD" w:rsidP="006070FD">
            <w:pPr>
              <w:tabs>
                <w:tab w:val="left" w:pos="3084"/>
              </w:tabs>
              <w:rPr>
                <w:rFonts w:eastAsia="Calibri"/>
                <w:szCs w:val="22"/>
                <w:lang w:val="en-PH"/>
              </w:rPr>
            </w:pPr>
            <w:r w:rsidRPr="00B5277D">
              <w:rPr>
                <w:rFonts w:eastAsia="Calibri"/>
                <w:szCs w:val="22"/>
                <w:lang w:val="en-PH"/>
              </w:rPr>
              <w:t xml:space="preserve">Number of years as </w:t>
            </w:r>
          </w:p>
          <w:p w14:paraId="7029B53F" w14:textId="77777777" w:rsidR="006070FD" w:rsidRPr="00B5277D" w:rsidRDefault="006070FD" w:rsidP="006070FD">
            <w:pPr>
              <w:tabs>
                <w:tab w:val="left" w:pos="3084"/>
              </w:tabs>
              <w:rPr>
                <w:rFonts w:eastAsia="Calibri"/>
                <w:szCs w:val="22"/>
                <w:lang w:val="en-PH"/>
              </w:rPr>
            </w:pPr>
            <w:r w:rsidRPr="00B5277D">
              <w:rPr>
                <w:rFonts w:eastAsia="Calibri"/>
                <w:szCs w:val="22"/>
                <w:lang w:val="en-PH"/>
              </w:rPr>
              <w:t>GFPS member</w:t>
            </w:r>
          </w:p>
        </w:tc>
        <w:tc>
          <w:tcPr>
            <w:tcW w:w="1975" w:type="dxa"/>
          </w:tcPr>
          <w:p w14:paraId="0B1B32EB" w14:textId="77777777" w:rsidR="006070FD" w:rsidRPr="00B5277D" w:rsidRDefault="006070FD" w:rsidP="006070FD">
            <w:pPr>
              <w:tabs>
                <w:tab w:val="left" w:pos="3084"/>
              </w:tabs>
              <w:jc w:val="center"/>
              <w:rPr>
                <w:rFonts w:eastAsia="Calibri"/>
                <w:szCs w:val="22"/>
                <w:lang w:val="en-PH"/>
              </w:rPr>
            </w:pPr>
          </w:p>
        </w:tc>
        <w:tc>
          <w:tcPr>
            <w:tcW w:w="2533" w:type="dxa"/>
          </w:tcPr>
          <w:p w14:paraId="2D7D0CC2" w14:textId="77777777" w:rsidR="006070FD" w:rsidRPr="00B5277D" w:rsidRDefault="006070FD" w:rsidP="006070FD">
            <w:pPr>
              <w:tabs>
                <w:tab w:val="left" w:pos="3084"/>
              </w:tabs>
              <w:jc w:val="center"/>
              <w:rPr>
                <w:rFonts w:eastAsia="Calibri"/>
                <w:szCs w:val="22"/>
                <w:lang w:val="en-PH"/>
              </w:rPr>
            </w:pPr>
          </w:p>
        </w:tc>
      </w:tr>
      <w:tr w:rsidR="006070FD" w:rsidRPr="00B5277D" w14:paraId="0ED16402" w14:textId="77777777" w:rsidTr="00B5277D">
        <w:tc>
          <w:tcPr>
            <w:tcW w:w="4371" w:type="dxa"/>
          </w:tcPr>
          <w:p w14:paraId="2AA07410"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1</w:t>
            </w:r>
          </w:p>
        </w:tc>
        <w:tc>
          <w:tcPr>
            <w:tcW w:w="1975" w:type="dxa"/>
          </w:tcPr>
          <w:p w14:paraId="689155F0"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11</w:t>
            </w:r>
          </w:p>
        </w:tc>
        <w:tc>
          <w:tcPr>
            <w:tcW w:w="2533" w:type="dxa"/>
          </w:tcPr>
          <w:p w14:paraId="2A9AC702"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25.00</w:t>
            </w:r>
          </w:p>
        </w:tc>
      </w:tr>
      <w:tr w:rsidR="006070FD" w:rsidRPr="00B5277D" w14:paraId="60EB1749" w14:textId="77777777" w:rsidTr="00B5277D">
        <w:tc>
          <w:tcPr>
            <w:tcW w:w="4371" w:type="dxa"/>
          </w:tcPr>
          <w:p w14:paraId="11F650C2"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2</w:t>
            </w:r>
          </w:p>
        </w:tc>
        <w:tc>
          <w:tcPr>
            <w:tcW w:w="1975" w:type="dxa"/>
          </w:tcPr>
          <w:p w14:paraId="3184E683"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9</w:t>
            </w:r>
          </w:p>
        </w:tc>
        <w:tc>
          <w:tcPr>
            <w:tcW w:w="2533" w:type="dxa"/>
          </w:tcPr>
          <w:p w14:paraId="528C06BB"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20.45</w:t>
            </w:r>
          </w:p>
        </w:tc>
      </w:tr>
      <w:tr w:rsidR="006070FD" w:rsidRPr="00B5277D" w14:paraId="48500F35" w14:textId="77777777" w:rsidTr="00B5277D">
        <w:tc>
          <w:tcPr>
            <w:tcW w:w="4371" w:type="dxa"/>
          </w:tcPr>
          <w:p w14:paraId="35E9462E"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3</w:t>
            </w:r>
          </w:p>
        </w:tc>
        <w:tc>
          <w:tcPr>
            <w:tcW w:w="1975" w:type="dxa"/>
          </w:tcPr>
          <w:p w14:paraId="51361373"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4</w:t>
            </w:r>
          </w:p>
        </w:tc>
        <w:tc>
          <w:tcPr>
            <w:tcW w:w="2533" w:type="dxa"/>
          </w:tcPr>
          <w:p w14:paraId="2294FA39"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9.09</w:t>
            </w:r>
          </w:p>
        </w:tc>
      </w:tr>
      <w:tr w:rsidR="006070FD" w:rsidRPr="00B5277D" w14:paraId="0F697E46" w14:textId="77777777" w:rsidTr="00B5277D">
        <w:tc>
          <w:tcPr>
            <w:tcW w:w="4371" w:type="dxa"/>
          </w:tcPr>
          <w:p w14:paraId="42644E6D"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4</w:t>
            </w:r>
          </w:p>
        </w:tc>
        <w:tc>
          <w:tcPr>
            <w:tcW w:w="1975" w:type="dxa"/>
          </w:tcPr>
          <w:p w14:paraId="1D219433"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3</w:t>
            </w:r>
          </w:p>
        </w:tc>
        <w:tc>
          <w:tcPr>
            <w:tcW w:w="2533" w:type="dxa"/>
          </w:tcPr>
          <w:p w14:paraId="2C3F31E2"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6.82</w:t>
            </w:r>
          </w:p>
        </w:tc>
      </w:tr>
      <w:tr w:rsidR="006070FD" w:rsidRPr="00B5277D" w14:paraId="0AABEE9D" w14:textId="77777777" w:rsidTr="00B5277D">
        <w:tc>
          <w:tcPr>
            <w:tcW w:w="4371" w:type="dxa"/>
          </w:tcPr>
          <w:p w14:paraId="5D1E0EBB"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More than 5</w:t>
            </w:r>
          </w:p>
        </w:tc>
        <w:tc>
          <w:tcPr>
            <w:tcW w:w="1975" w:type="dxa"/>
          </w:tcPr>
          <w:p w14:paraId="65280AD3"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17</w:t>
            </w:r>
          </w:p>
        </w:tc>
        <w:tc>
          <w:tcPr>
            <w:tcW w:w="2533" w:type="dxa"/>
          </w:tcPr>
          <w:p w14:paraId="4C343A43"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38.64</w:t>
            </w:r>
          </w:p>
        </w:tc>
      </w:tr>
      <w:tr w:rsidR="006070FD" w:rsidRPr="00B5277D" w14:paraId="160FDF73" w14:textId="77777777" w:rsidTr="00B5277D">
        <w:tc>
          <w:tcPr>
            <w:tcW w:w="4371" w:type="dxa"/>
          </w:tcPr>
          <w:p w14:paraId="00EDC173" w14:textId="77777777" w:rsidR="006070FD" w:rsidRPr="00B5277D" w:rsidRDefault="006070FD" w:rsidP="006070FD">
            <w:pPr>
              <w:tabs>
                <w:tab w:val="left" w:pos="3084"/>
              </w:tabs>
              <w:rPr>
                <w:rFonts w:eastAsia="Calibri"/>
                <w:bCs/>
                <w:szCs w:val="22"/>
                <w:lang w:val="en-PH"/>
              </w:rPr>
            </w:pPr>
            <w:r w:rsidRPr="00B5277D">
              <w:rPr>
                <w:rFonts w:eastAsia="Calibri"/>
                <w:szCs w:val="22"/>
                <w:lang w:val="en-PH"/>
              </w:rPr>
              <w:t>Campus</w:t>
            </w:r>
          </w:p>
        </w:tc>
        <w:tc>
          <w:tcPr>
            <w:tcW w:w="1975" w:type="dxa"/>
          </w:tcPr>
          <w:p w14:paraId="3C230609" w14:textId="77777777" w:rsidR="006070FD" w:rsidRPr="00B5277D" w:rsidRDefault="006070FD" w:rsidP="006070FD">
            <w:pPr>
              <w:tabs>
                <w:tab w:val="left" w:pos="3084"/>
              </w:tabs>
              <w:jc w:val="center"/>
              <w:rPr>
                <w:rFonts w:eastAsia="Calibri"/>
                <w:szCs w:val="22"/>
                <w:lang w:val="en-PH"/>
              </w:rPr>
            </w:pPr>
          </w:p>
        </w:tc>
        <w:tc>
          <w:tcPr>
            <w:tcW w:w="2533" w:type="dxa"/>
          </w:tcPr>
          <w:p w14:paraId="26AB5606" w14:textId="77777777" w:rsidR="006070FD" w:rsidRPr="00B5277D" w:rsidRDefault="006070FD" w:rsidP="006070FD">
            <w:pPr>
              <w:tabs>
                <w:tab w:val="left" w:pos="3084"/>
              </w:tabs>
              <w:jc w:val="center"/>
              <w:rPr>
                <w:rFonts w:eastAsia="Calibri"/>
                <w:szCs w:val="22"/>
                <w:lang w:val="en-PH"/>
              </w:rPr>
            </w:pPr>
          </w:p>
        </w:tc>
      </w:tr>
      <w:tr w:rsidR="006070FD" w:rsidRPr="00B5277D" w14:paraId="3D62551A" w14:textId="77777777" w:rsidTr="00B5277D">
        <w:tc>
          <w:tcPr>
            <w:tcW w:w="4371" w:type="dxa"/>
          </w:tcPr>
          <w:p w14:paraId="79FC0C40"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Conner</w:t>
            </w:r>
          </w:p>
        </w:tc>
        <w:tc>
          <w:tcPr>
            <w:tcW w:w="1975" w:type="dxa"/>
          </w:tcPr>
          <w:p w14:paraId="556EEC68"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21</w:t>
            </w:r>
          </w:p>
        </w:tc>
        <w:tc>
          <w:tcPr>
            <w:tcW w:w="2533" w:type="dxa"/>
          </w:tcPr>
          <w:p w14:paraId="1B70470C"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47.73</w:t>
            </w:r>
          </w:p>
        </w:tc>
      </w:tr>
      <w:tr w:rsidR="006070FD" w:rsidRPr="00B5277D" w14:paraId="2B82D159" w14:textId="77777777" w:rsidTr="00B5277D">
        <w:tc>
          <w:tcPr>
            <w:tcW w:w="4371" w:type="dxa"/>
          </w:tcPr>
          <w:p w14:paraId="006793B3"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Luna</w:t>
            </w:r>
          </w:p>
        </w:tc>
        <w:tc>
          <w:tcPr>
            <w:tcW w:w="1975" w:type="dxa"/>
          </w:tcPr>
          <w:p w14:paraId="2099F7EC"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23</w:t>
            </w:r>
          </w:p>
        </w:tc>
        <w:tc>
          <w:tcPr>
            <w:tcW w:w="2533" w:type="dxa"/>
          </w:tcPr>
          <w:p w14:paraId="4DC8CD8F"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52.27</w:t>
            </w:r>
          </w:p>
        </w:tc>
      </w:tr>
    </w:tbl>
    <w:p w14:paraId="03527751" w14:textId="12BF6FA1" w:rsidR="006070FD" w:rsidRPr="00843E64" w:rsidRDefault="00937C98" w:rsidP="00843E64">
      <w:pPr>
        <w:spacing w:after="0" w:line="240" w:lineRule="auto"/>
        <w:rPr>
          <w:rFonts w:ascii="Times New Roman" w:eastAsia="Calibri" w:hAnsi="Times New Roman" w:cs="Times New Roman"/>
          <w:i/>
          <w:iCs/>
          <w:sz w:val="22"/>
          <w:szCs w:val="22"/>
          <w:lang w:val="en-PH"/>
          <w14:ligatures w14:val="none"/>
        </w:rPr>
      </w:pPr>
      <w:r>
        <w:rPr>
          <w:rFonts w:ascii="Times New Roman" w:eastAsia="Calibri" w:hAnsi="Times New Roman" w:cs="Times New Roman"/>
          <w:sz w:val="22"/>
          <w:szCs w:val="22"/>
          <w14:ligatures w14:val="none"/>
        </w:rPr>
        <w:lastRenderedPageBreak/>
        <w:tab/>
      </w:r>
      <w:r w:rsidR="006070FD" w:rsidRPr="006070FD">
        <w:rPr>
          <w:rFonts w:ascii="Times New Roman" w:eastAsia="Calibri" w:hAnsi="Times New Roman" w:cs="Times New Roman"/>
          <w:sz w:val="22"/>
          <w:szCs w:val="22"/>
          <w14:ligatures w14:val="none"/>
        </w:rPr>
        <w:t xml:space="preserve">Table 1 </w:t>
      </w:r>
      <w:r w:rsidR="006070FD" w:rsidRPr="006070FD">
        <w:rPr>
          <w:rFonts w:ascii="Times New Roman" w:eastAsia="SimSun" w:hAnsi="Times New Roman" w:cs="Times New Roman"/>
          <w:kern w:val="0"/>
          <w:sz w:val="22"/>
          <w:szCs w:val="22"/>
          <w14:ligatures w14:val="none"/>
        </w:rPr>
        <w:t>shows the</w:t>
      </w:r>
      <w:r w:rsidR="006070FD" w:rsidRPr="006070FD">
        <w:rPr>
          <w:rFonts w:ascii="Times New Roman" w:eastAsia="SimSun" w:hAnsi="Times New Roman" w:cs="Times New Roman"/>
          <w:kern w:val="0"/>
          <w:sz w:val="22"/>
          <w:szCs w:val="22"/>
          <w:lang w:val="en-PH"/>
          <w14:ligatures w14:val="none"/>
        </w:rPr>
        <w:t xml:space="preserve"> demographic profile of the Gender and Development Focal Point System (GFPS) members at </w:t>
      </w:r>
      <w:r w:rsidR="006070FD" w:rsidRPr="00B5277D">
        <w:rPr>
          <w:rFonts w:ascii="Times New Roman" w:eastAsia="SimSun" w:hAnsi="Times New Roman" w:cs="Times New Roman"/>
          <w:kern w:val="0"/>
          <w:sz w:val="22"/>
          <w:szCs w:val="22"/>
          <w:lang w:val="en-PH"/>
          <w14:ligatures w14:val="none"/>
        </w:rPr>
        <w:t>Apayao State College reveals several noteworthy trends in terms of gender, age, educational attainment, position, committee membership, years of service, and campus location.</w:t>
      </w:r>
    </w:p>
    <w:p w14:paraId="0DB80C5C" w14:textId="77777777" w:rsidR="006070FD" w:rsidRPr="00B5277D" w:rsidRDefault="006070FD" w:rsidP="00843E64">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B5277D">
        <w:rPr>
          <w:rFonts w:ascii="Times New Roman" w:eastAsia="SimSun" w:hAnsi="Times New Roman" w:cs="Times New Roman"/>
          <w:kern w:val="0"/>
          <w:sz w:val="22"/>
          <w:szCs w:val="22"/>
          <w:lang w:val="en-PH"/>
          <w14:ligatures w14:val="none"/>
        </w:rPr>
        <w:t xml:space="preserve">In terms of </w:t>
      </w:r>
      <w:r w:rsidRPr="00B5277D">
        <w:rPr>
          <w:rFonts w:ascii="Times New Roman" w:eastAsia="SimSun" w:hAnsi="Times New Roman" w:cs="Times New Roman"/>
          <w:bCs/>
          <w:kern w:val="0"/>
          <w:sz w:val="22"/>
          <w:szCs w:val="22"/>
          <w:lang w:val="en-PH"/>
          <w14:ligatures w14:val="none"/>
        </w:rPr>
        <w:t>sex</w:t>
      </w:r>
      <w:r w:rsidRPr="00B5277D">
        <w:rPr>
          <w:rFonts w:ascii="Times New Roman" w:eastAsia="SimSun" w:hAnsi="Times New Roman" w:cs="Times New Roman"/>
          <w:kern w:val="0"/>
          <w:sz w:val="22"/>
          <w:szCs w:val="22"/>
          <w:lang w:val="en-PH"/>
          <w14:ligatures w14:val="none"/>
        </w:rPr>
        <w:t xml:space="preserve">, the majority of GFPS members are female (54.55%), compared to 45.45% male members. This reflects a higher female representation within the GFPS at Apayao State College. The prominence of women in the GFPS aligns with global trends emphasizing the importance of female participation in leadership roles, as women are essential in fostering empowerment and positive organizational change. According to </w:t>
      </w:r>
      <w:r w:rsidRPr="00B5277D">
        <w:rPr>
          <w:rFonts w:ascii="Times New Roman" w:eastAsia="SimSun" w:hAnsi="Times New Roman" w:cs="Times New Roman"/>
          <w:bCs/>
          <w:kern w:val="0"/>
          <w:sz w:val="22"/>
          <w:szCs w:val="22"/>
          <w:lang w:val="en-PH"/>
          <w14:ligatures w14:val="none"/>
        </w:rPr>
        <w:t>Dogan and Yıldız (2023)</w:t>
      </w:r>
      <w:r w:rsidRPr="00B5277D">
        <w:rPr>
          <w:rFonts w:ascii="Times New Roman" w:eastAsia="SimSun" w:hAnsi="Times New Roman" w:cs="Times New Roman"/>
          <w:kern w:val="0"/>
          <w:sz w:val="22"/>
          <w:szCs w:val="22"/>
          <w:lang w:val="en-PH"/>
          <w14:ligatures w14:val="none"/>
        </w:rPr>
        <w:t>, increasing female representation in leadership roles enhances the dynamics of leadership and empowerment, suggesting that the high female participation in the GFPS contributes to the overall effectiveness of gender mainstreaming within the college.</w:t>
      </w:r>
    </w:p>
    <w:p w14:paraId="68BEE629" w14:textId="77777777" w:rsidR="006070FD" w:rsidRPr="00B5277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B5277D">
        <w:rPr>
          <w:rFonts w:ascii="Times New Roman" w:eastAsia="SimSun" w:hAnsi="Times New Roman" w:cs="Times New Roman"/>
          <w:kern w:val="0"/>
          <w:sz w:val="22"/>
          <w:szCs w:val="22"/>
          <w:lang w:val="en-PH"/>
          <w14:ligatures w14:val="none"/>
        </w:rPr>
        <w:t xml:space="preserve">Regarding </w:t>
      </w:r>
      <w:r w:rsidRPr="00B5277D">
        <w:rPr>
          <w:rFonts w:ascii="Times New Roman" w:eastAsia="SimSun" w:hAnsi="Times New Roman" w:cs="Times New Roman"/>
          <w:bCs/>
          <w:kern w:val="0"/>
          <w:sz w:val="22"/>
          <w:szCs w:val="22"/>
          <w:lang w:val="en-PH"/>
          <w14:ligatures w14:val="none"/>
        </w:rPr>
        <w:t>age</w:t>
      </w:r>
      <w:r w:rsidRPr="00B5277D">
        <w:rPr>
          <w:rFonts w:ascii="Times New Roman" w:eastAsia="SimSun" w:hAnsi="Times New Roman" w:cs="Times New Roman"/>
          <w:kern w:val="0"/>
          <w:sz w:val="22"/>
          <w:szCs w:val="22"/>
          <w:lang w:val="en-PH"/>
          <w14:ligatures w14:val="none"/>
        </w:rPr>
        <w:t xml:space="preserve">, the largest group of GFPS members are between the ages of 41 and 50 (29.55%), followed by those aged 31 to 40 (27.27%) and 51 to 60 (25%). The younger age group, 21 to 30 years old, represents the smallest cohort (18.18%). This distribution indicates that the GFPS is predominantly composed of mature, experienced individuals who likely possess extensive knowledge and professional expertise, which enhances their ability to effectively carry out their roles. As </w:t>
      </w:r>
      <w:r w:rsidRPr="00B5277D">
        <w:rPr>
          <w:rFonts w:ascii="Times New Roman" w:eastAsia="SimSun" w:hAnsi="Times New Roman" w:cs="Times New Roman"/>
          <w:bCs/>
          <w:kern w:val="0"/>
          <w:sz w:val="22"/>
          <w:szCs w:val="22"/>
          <w:lang w:val="en-PH"/>
          <w14:ligatures w14:val="none"/>
        </w:rPr>
        <w:t>Lutz (2019)</w:t>
      </w:r>
      <w:r w:rsidRPr="00B5277D">
        <w:rPr>
          <w:rFonts w:ascii="Times New Roman" w:eastAsia="SimSun" w:hAnsi="Times New Roman" w:cs="Times New Roman"/>
          <w:kern w:val="0"/>
          <w:sz w:val="22"/>
          <w:szCs w:val="22"/>
          <w:lang w:val="en-PH"/>
          <w14:ligatures w14:val="none"/>
        </w:rPr>
        <w:t xml:space="preserve"> suggests, individuals with more experience and seniority tend to bring valuable insights into decision-making and problem-solving processes, making them well-suited to implement gender-related initiatives within the institution.</w:t>
      </w:r>
    </w:p>
    <w:p w14:paraId="7E90A156" w14:textId="77777777" w:rsidR="006070FD" w:rsidRPr="00B5277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B5277D">
        <w:rPr>
          <w:rFonts w:ascii="Times New Roman" w:eastAsia="SimSun" w:hAnsi="Times New Roman" w:cs="Times New Roman"/>
          <w:kern w:val="0"/>
          <w:sz w:val="22"/>
          <w:szCs w:val="22"/>
          <w:lang w:val="en-PH"/>
          <w14:ligatures w14:val="none"/>
        </w:rPr>
        <w:t xml:space="preserve">In terms of </w:t>
      </w:r>
      <w:r w:rsidRPr="00B5277D">
        <w:rPr>
          <w:rFonts w:ascii="Times New Roman" w:eastAsia="SimSun" w:hAnsi="Times New Roman" w:cs="Times New Roman"/>
          <w:bCs/>
          <w:kern w:val="0"/>
          <w:sz w:val="22"/>
          <w:szCs w:val="22"/>
          <w:lang w:val="en-PH"/>
          <w14:ligatures w14:val="none"/>
        </w:rPr>
        <w:t>educational attainment</w:t>
      </w:r>
      <w:r w:rsidRPr="00B5277D">
        <w:rPr>
          <w:rFonts w:ascii="Times New Roman" w:eastAsia="SimSun" w:hAnsi="Times New Roman" w:cs="Times New Roman"/>
          <w:kern w:val="0"/>
          <w:sz w:val="22"/>
          <w:szCs w:val="22"/>
          <w:lang w:val="en-PH"/>
          <w14:ligatures w14:val="none"/>
        </w:rPr>
        <w:t xml:space="preserve">, the majority of GFPS members hold Master's degrees (54.55%), followed by those with Doctoral degrees (27.27%) and Bachelor's degrees (18.18%). This indicates a highly educated team responsible for overseeing gender mainstreaming efforts at the College. Higher levels of education are linked to better policy design, implementation, and the ability to perform complex tasks related to gender mainstreaming. </w:t>
      </w:r>
      <w:r w:rsidRPr="00B5277D">
        <w:rPr>
          <w:rFonts w:ascii="Times New Roman" w:eastAsia="SimSun" w:hAnsi="Times New Roman" w:cs="Times New Roman"/>
          <w:bCs/>
          <w:kern w:val="0"/>
          <w:sz w:val="22"/>
          <w:szCs w:val="22"/>
          <w:lang w:val="en-PH"/>
          <w14:ligatures w14:val="none"/>
        </w:rPr>
        <w:t>Schultz and Asher (2018)</w:t>
      </w:r>
      <w:r w:rsidRPr="00B5277D">
        <w:rPr>
          <w:rFonts w:ascii="Times New Roman" w:eastAsia="SimSun" w:hAnsi="Times New Roman" w:cs="Times New Roman"/>
          <w:kern w:val="0"/>
          <w:sz w:val="22"/>
          <w:szCs w:val="22"/>
          <w:lang w:val="en-PH"/>
          <w14:ligatures w14:val="none"/>
        </w:rPr>
        <w:t xml:space="preserve"> emphasize that well-educated professionals are better equipped to contribute to gender equality initiatives, and the advanced degrees of the GFPS members at Apayao State College enhance the effectiveness of their work in the institution.</w:t>
      </w:r>
    </w:p>
    <w:p w14:paraId="0D8A5668" w14:textId="77777777" w:rsidR="006070FD" w:rsidRPr="00B5277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B5277D">
        <w:rPr>
          <w:rFonts w:ascii="Times New Roman" w:eastAsia="SimSun" w:hAnsi="Times New Roman" w:cs="Times New Roman"/>
          <w:kern w:val="0"/>
          <w:sz w:val="22"/>
          <w:szCs w:val="22"/>
          <w:lang w:val="en-PH"/>
          <w14:ligatures w14:val="none"/>
        </w:rPr>
        <w:t xml:space="preserve">In terms of </w:t>
      </w:r>
      <w:r w:rsidRPr="00B5277D">
        <w:rPr>
          <w:rFonts w:ascii="Times New Roman" w:eastAsia="SimSun" w:hAnsi="Times New Roman" w:cs="Times New Roman"/>
          <w:bCs/>
          <w:kern w:val="0"/>
          <w:sz w:val="22"/>
          <w:szCs w:val="22"/>
          <w:lang w:val="en-PH"/>
          <w14:ligatures w14:val="none"/>
        </w:rPr>
        <w:t>position</w:t>
      </w:r>
      <w:r w:rsidRPr="00B5277D">
        <w:rPr>
          <w:rFonts w:ascii="Times New Roman" w:eastAsia="SimSun" w:hAnsi="Times New Roman" w:cs="Times New Roman"/>
          <w:kern w:val="0"/>
          <w:sz w:val="22"/>
          <w:szCs w:val="22"/>
          <w:lang w:val="en-PH"/>
          <w14:ligatures w14:val="none"/>
        </w:rPr>
        <w:t xml:space="preserve">, the majority of GFPS members hold the rank of Associate Professor (29.55%), followed by Assistant Professors (20.45%), Administrative Officers (18.18%), and Administrative Staff (13.64%). A smaller proportion includes Professors (9.09%) and Instructors (6.82%). This mix of academic and administrative staff within the GFPS highlights the interdisciplinary nature of the system, where both teaching and non-teaching staff collaborate to promote gender mainstreaming. </w:t>
      </w:r>
      <w:r w:rsidRPr="00B5277D">
        <w:rPr>
          <w:rFonts w:ascii="Times New Roman" w:eastAsia="SimSun" w:hAnsi="Times New Roman" w:cs="Times New Roman"/>
          <w:bCs/>
          <w:kern w:val="0"/>
          <w:sz w:val="22"/>
          <w:szCs w:val="22"/>
          <w:lang w:val="en-PH"/>
          <w14:ligatures w14:val="none"/>
        </w:rPr>
        <w:t>Santos and Ramos (2019)</w:t>
      </w:r>
      <w:r w:rsidRPr="00B5277D">
        <w:rPr>
          <w:rFonts w:ascii="Times New Roman" w:eastAsia="SimSun" w:hAnsi="Times New Roman" w:cs="Times New Roman"/>
          <w:kern w:val="0"/>
          <w:sz w:val="22"/>
          <w:szCs w:val="22"/>
          <w:lang w:val="en-PH"/>
          <w14:ligatures w14:val="none"/>
        </w:rPr>
        <w:t xml:space="preserve"> highlight the significance of having a diverse group of members from various professional backgrounds within GFPS committees, as this diversity fosters a comprehensive approach to gender mainstreaming that encompasses both the educational and administrative functions of the institution.</w:t>
      </w:r>
    </w:p>
    <w:p w14:paraId="0F21987E" w14:textId="77777777" w:rsidR="006070FD" w:rsidRPr="00B5277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B5277D">
        <w:rPr>
          <w:rFonts w:ascii="Times New Roman" w:eastAsia="SimSun" w:hAnsi="Times New Roman" w:cs="Times New Roman"/>
          <w:kern w:val="0"/>
          <w:sz w:val="22"/>
          <w:szCs w:val="22"/>
          <w:lang w:val="en-PH"/>
          <w14:ligatures w14:val="none"/>
        </w:rPr>
        <w:t xml:space="preserve">In terms of </w:t>
      </w:r>
      <w:r w:rsidRPr="00B5277D">
        <w:rPr>
          <w:rFonts w:ascii="Times New Roman" w:eastAsia="SimSun" w:hAnsi="Times New Roman" w:cs="Times New Roman"/>
          <w:bCs/>
          <w:kern w:val="0"/>
          <w:sz w:val="22"/>
          <w:szCs w:val="22"/>
          <w:lang w:val="en-PH"/>
          <w14:ligatures w14:val="none"/>
        </w:rPr>
        <w:t>committee membership</w:t>
      </w:r>
      <w:r w:rsidRPr="00B5277D">
        <w:rPr>
          <w:rFonts w:ascii="Times New Roman" w:eastAsia="SimSun" w:hAnsi="Times New Roman" w:cs="Times New Roman"/>
          <w:kern w:val="0"/>
          <w:sz w:val="22"/>
          <w:szCs w:val="22"/>
          <w:lang w:val="en-PH"/>
          <w14:ligatures w14:val="none"/>
        </w:rPr>
        <w:t xml:space="preserve">, the majority of GFPS members (79.55%) belong to the Technical Working Group, with smaller numbers in the Secretariat (11.36%) and Executive Committee (9.09%). This distribution suggests that most GFPS members are engaged in the operational aspects of gender mainstreaming, focusing on implementing and monitoring gender equality initiatives. The Technical Working Group's role is essential, as it is responsible for translating gender policies into actionable plans and ensuring their successful execution. </w:t>
      </w:r>
      <w:r w:rsidRPr="00B5277D">
        <w:rPr>
          <w:rFonts w:ascii="Times New Roman" w:eastAsia="SimSun" w:hAnsi="Times New Roman" w:cs="Times New Roman"/>
          <w:bCs/>
          <w:kern w:val="0"/>
          <w:sz w:val="22"/>
          <w:szCs w:val="22"/>
          <w:lang w:val="en-PH"/>
          <w14:ligatures w14:val="none"/>
        </w:rPr>
        <w:t>Garcia (2017)</w:t>
      </w:r>
      <w:r w:rsidRPr="00B5277D">
        <w:rPr>
          <w:rFonts w:ascii="Times New Roman" w:eastAsia="SimSun" w:hAnsi="Times New Roman" w:cs="Times New Roman"/>
          <w:kern w:val="0"/>
          <w:sz w:val="22"/>
          <w:szCs w:val="22"/>
          <w:lang w:val="en-PH"/>
          <w14:ligatures w14:val="none"/>
        </w:rPr>
        <w:t xml:space="preserve"> asserts that the Technical Working Group plays a critical role in the practical aspects of gender mainstreaming, making its prominent representation in the GFPS of Apayao State College a key factor in the successful implementation of gender-related policies.</w:t>
      </w:r>
    </w:p>
    <w:p w14:paraId="16E3E2E8" w14:textId="77777777" w:rsidR="006070FD" w:rsidRPr="00B5277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B5277D">
        <w:rPr>
          <w:rFonts w:ascii="Times New Roman" w:eastAsia="SimSun" w:hAnsi="Times New Roman" w:cs="Times New Roman"/>
          <w:kern w:val="0"/>
          <w:sz w:val="22"/>
          <w:szCs w:val="22"/>
          <w:lang w:val="en-PH"/>
          <w14:ligatures w14:val="none"/>
        </w:rPr>
        <w:t xml:space="preserve">Regarding </w:t>
      </w:r>
      <w:r w:rsidRPr="00B5277D">
        <w:rPr>
          <w:rFonts w:ascii="Times New Roman" w:eastAsia="SimSun" w:hAnsi="Times New Roman" w:cs="Times New Roman"/>
          <w:bCs/>
          <w:kern w:val="0"/>
          <w:sz w:val="22"/>
          <w:szCs w:val="22"/>
          <w:lang w:val="en-PH"/>
          <w14:ligatures w14:val="none"/>
        </w:rPr>
        <w:t>years of service</w:t>
      </w:r>
      <w:r w:rsidRPr="00B5277D">
        <w:rPr>
          <w:rFonts w:ascii="Times New Roman" w:eastAsia="SimSun" w:hAnsi="Times New Roman" w:cs="Times New Roman"/>
          <w:kern w:val="0"/>
          <w:sz w:val="22"/>
          <w:szCs w:val="22"/>
          <w:lang w:val="en-PH"/>
          <w14:ligatures w14:val="none"/>
        </w:rPr>
        <w:t xml:space="preserve">, a significant portion of GFPS members (38.64%) have been in the system for more than five years, followed by those with one year (25%), two years (20.45%), and three years (9.09%) of service. This distribution indicates that the majority of GFPS members are seasoned professionals with substantial experience in gender mainstreaming. Their long tenure allows them to develop expertise and institutional memory, which enhances the effectiveness and sustainability of gender </w:t>
      </w:r>
      <w:r w:rsidRPr="00B5277D">
        <w:rPr>
          <w:rFonts w:ascii="Times New Roman" w:eastAsia="SimSun" w:hAnsi="Times New Roman" w:cs="Times New Roman"/>
          <w:kern w:val="0"/>
          <w:sz w:val="22"/>
          <w:szCs w:val="22"/>
          <w:lang w:val="en-PH"/>
          <w14:ligatures w14:val="none"/>
        </w:rPr>
        <w:lastRenderedPageBreak/>
        <w:t xml:space="preserve">initiatives. According to </w:t>
      </w:r>
      <w:r w:rsidRPr="00B5277D">
        <w:rPr>
          <w:rFonts w:ascii="Times New Roman" w:eastAsia="SimSun" w:hAnsi="Times New Roman" w:cs="Times New Roman"/>
          <w:bCs/>
          <w:kern w:val="0"/>
          <w:sz w:val="22"/>
          <w:szCs w:val="22"/>
          <w:lang w:val="en-PH"/>
          <w14:ligatures w14:val="none"/>
        </w:rPr>
        <w:t>Solomon (2018)</w:t>
      </w:r>
      <w:r w:rsidRPr="00B5277D">
        <w:rPr>
          <w:rFonts w:ascii="Times New Roman" w:eastAsia="SimSun" w:hAnsi="Times New Roman" w:cs="Times New Roman"/>
          <w:kern w:val="0"/>
          <w:sz w:val="22"/>
          <w:szCs w:val="22"/>
          <w:lang w:val="en-PH"/>
          <w14:ligatures w14:val="none"/>
        </w:rPr>
        <w:t>, experienced members of gender-related teams bring leadership skills that contribute to the continuity and success of gender mainstreaming efforts.</w:t>
      </w:r>
    </w:p>
    <w:p w14:paraId="3F849C8C" w14:textId="77777777" w:rsidR="006070FD" w:rsidRPr="00B5277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B5277D">
        <w:rPr>
          <w:rFonts w:ascii="Times New Roman" w:eastAsia="SimSun" w:hAnsi="Times New Roman" w:cs="Times New Roman"/>
          <w:kern w:val="0"/>
          <w:sz w:val="22"/>
          <w:szCs w:val="22"/>
          <w:lang w:val="en-PH"/>
          <w14:ligatures w14:val="none"/>
        </w:rPr>
        <w:t xml:space="preserve">Finally, in terms of </w:t>
      </w:r>
      <w:r w:rsidRPr="00B5277D">
        <w:rPr>
          <w:rFonts w:ascii="Times New Roman" w:eastAsia="SimSun" w:hAnsi="Times New Roman" w:cs="Times New Roman"/>
          <w:bCs/>
          <w:kern w:val="0"/>
          <w:sz w:val="22"/>
          <w:szCs w:val="22"/>
          <w:lang w:val="en-PH"/>
          <w14:ligatures w14:val="none"/>
        </w:rPr>
        <w:t>campus distribution</w:t>
      </w:r>
      <w:r w:rsidRPr="00B5277D">
        <w:rPr>
          <w:rFonts w:ascii="Times New Roman" w:eastAsia="SimSun" w:hAnsi="Times New Roman" w:cs="Times New Roman"/>
          <w:kern w:val="0"/>
          <w:sz w:val="22"/>
          <w:szCs w:val="22"/>
          <w:lang w:val="en-PH"/>
          <w14:ligatures w14:val="none"/>
        </w:rPr>
        <w:t xml:space="preserve">, the majority of GFPS members are stationed at Luna Campus (52.27%), while 47.73% are assigned to Conner Campus. This slight concentration of members at Luna Campus indicates a near-even distribution of GFPS members across the College's two campuses, which ensures that gender mainstreaming initiatives are well-represented and implemented across the institution. </w:t>
      </w:r>
      <w:r w:rsidRPr="00B5277D">
        <w:rPr>
          <w:rFonts w:ascii="Times New Roman" w:eastAsia="SimSun" w:hAnsi="Times New Roman" w:cs="Times New Roman"/>
          <w:bCs/>
          <w:kern w:val="0"/>
          <w:sz w:val="22"/>
          <w:szCs w:val="22"/>
          <w:lang w:val="en-PH"/>
          <w14:ligatures w14:val="none"/>
        </w:rPr>
        <w:t>Medina and Juanillo (2020)</w:t>
      </w:r>
      <w:r w:rsidRPr="00B5277D">
        <w:rPr>
          <w:rFonts w:ascii="Times New Roman" w:eastAsia="SimSun" w:hAnsi="Times New Roman" w:cs="Times New Roman"/>
          <w:kern w:val="0"/>
          <w:sz w:val="22"/>
          <w:szCs w:val="22"/>
          <w:lang w:val="en-PH"/>
          <w14:ligatures w14:val="none"/>
        </w:rPr>
        <w:t xml:space="preserve"> argue that effective gender mainstreaming requires equal participation from all campuses to ensure that gender equality is promoted throughout the entire institution.</w:t>
      </w:r>
    </w:p>
    <w:p w14:paraId="7344A6DD" w14:textId="77777777" w:rsidR="00B5277D" w:rsidRDefault="00B5277D" w:rsidP="00B5277D">
      <w:pPr>
        <w:widowControl w:val="0"/>
        <w:spacing w:before="43" w:after="0" w:line="240" w:lineRule="auto"/>
        <w:ind w:firstLine="567"/>
        <w:jc w:val="both"/>
        <w:rPr>
          <w:rFonts w:ascii="Times New Roman" w:eastAsia="Calibri" w:hAnsi="Times New Roman" w:cs="Times New Roman"/>
          <w:sz w:val="22"/>
          <w:szCs w:val="22"/>
          <w:lang w:val="en-PH"/>
          <w14:ligatures w14:val="none"/>
        </w:rPr>
      </w:pPr>
      <w:r>
        <w:rPr>
          <w:rFonts w:ascii="Times New Roman" w:eastAsia="Calibri" w:hAnsi="Times New Roman" w:cs="Times New Roman"/>
          <w:sz w:val="22"/>
          <w:szCs w:val="22"/>
          <w:lang w:val="en-PH"/>
          <w14:ligatures w14:val="none"/>
        </w:rPr>
        <w:t xml:space="preserve">  </w:t>
      </w:r>
    </w:p>
    <w:p w14:paraId="3B76C197" w14:textId="74B39E53" w:rsidR="006070FD" w:rsidRPr="00B5277D" w:rsidRDefault="00B5277D" w:rsidP="00B5277D">
      <w:pPr>
        <w:widowControl w:val="0"/>
        <w:spacing w:before="43" w:after="0" w:line="240" w:lineRule="auto"/>
        <w:jc w:val="both"/>
        <w:rPr>
          <w:rFonts w:ascii="Times New Roman" w:eastAsia="Calibri" w:hAnsi="Times New Roman" w:cs="Times New Roman"/>
          <w:sz w:val="20"/>
          <w:szCs w:val="20"/>
          <w:lang w:val="en-PH"/>
          <w14:ligatures w14:val="none"/>
        </w:rPr>
      </w:pPr>
      <w:r>
        <w:rPr>
          <w:rFonts w:ascii="Times New Roman" w:eastAsia="Calibri" w:hAnsi="Times New Roman" w:cs="Times New Roman"/>
          <w:b/>
          <w:sz w:val="22"/>
          <w:szCs w:val="22"/>
          <w:lang w:val="en-PH"/>
          <w14:ligatures w14:val="none"/>
        </w:rPr>
        <w:t xml:space="preserve">2. </w:t>
      </w:r>
      <w:r w:rsidR="006070FD" w:rsidRPr="006070FD">
        <w:rPr>
          <w:rFonts w:ascii="Times New Roman" w:eastAsia="Calibri" w:hAnsi="Times New Roman" w:cs="Times New Roman"/>
          <w:b/>
          <w:sz w:val="22"/>
          <w:szCs w:val="22"/>
          <w:lang w:val="en-PH"/>
          <w14:ligatures w14:val="none"/>
        </w:rPr>
        <w:t>Level of familiarity of the GFPS members on GAD concepts; GAD mandates; and GAD tools.</w:t>
      </w:r>
      <w:r>
        <w:rPr>
          <w:rFonts w:ascii="Times New Roman" w:eastAsia="Calibri" w:hAnsi="Times New Roman" w:cs="Times New Roman"/>
          <w:sz w:val="22"/>
          <w:szCs w:val="22"/>
          <w:lang w:val="en-PH"/>
          <w14:ligatures w14:val="none"/>
        </w:rPr>
        <w:br/>
      </w:r>
      <w:r>
        <w:rPr>
          <w:rFonts w:ascii="Times New Roman" w:eastAsia="Calibri" w:hAnsi="Times New Roman" w:cs="Times New Roman"/>
          <w:sz w:val="22"/>
          <w:szCs w:val="22"/>
          <w:lang w:val="en-PH"/>
          <w14:ligatures w14:val="none"/>
        </w:rPr>
        <w:br/>
      </w:r>
      <w:r w:rsidR="006070FD" w:rsidRPr="00B5277D">
        <w:rPr>
          <w:rFonts w:ascii="Times New Roman" w:eastAsia="Calibri" w:hAnsi="Times New Roman" w:cs="Times New Roman"/>
          <w:bCs/>
          <w:iCs/>
          <w:sz w:val="20"/>
          <w:szCs w:val="20"/>
          <w:lang w:val="en-PH"/>
          <w14:ligatures w14:val="none"/>
        </w:rPr>
        <w:t>Table 2.1</w:t>
      </w:r>
      <w:r w:rsidR="006070FD" w:rsidRPr="00B5277D">
        <w:rPr>
          <w:rFonts w:ascii="Times New Roman" w:eastAsia="Calibri" w:hAnsi="Times New Roman" w:cs="Times New Roman"/>
          <w:bCs/>
          <w:i/>
          <w:iCs/>
          <w:sz w:val="20"/>
          <w:szCs w:val="20"/>
          <w:lang w:val="en-PH"/>
          <w14:ligatures w14:val="none"/>
        </w:rPr>
        <w:t xml:space="preserve"> Familiarity Level of GFPS members on GAD concepts</w:t>
      </w:r>
    </w:p>
    <w:p w14:paraId="55ED8137" w14:textId="77777777" w:rsidR="006070FD" w:rsidRPr="00B5277D" w:rsidRDefault="006070FD" w:rsidP="006070FD">
      <w:pPr>
        <w:spacing w:after="0" w:line="240" w:lineRule="auto"/>
        <w:ind w:left="720"/>
        <w:contextualSpacing/>
        <w:jc w:val="both"/>
        <w:rPr>
          <w:rFonts w:ascii="Times New Roman" w:eastAsia="Calibri" w:hAnsi="Times New Roman" w:cs="Times New Roman"/>
          <w:sz w:val="20"/>
          <w:szCs w:val="20"/>
          <w:lang w:val="en-PH"/>
          <w14:ligatures w14:val="none"/>
        </w:rPr>
      </w:pPr>
    </w:p>
    <w:tbl>
      <w:tblPr>
        <w:tblStyle w:val="TableGrid"/>
        <w:tblW w:w="0" w:type="auto"/>
        <w:tblInd w:w="-5" w:type="dxa"/>
        <w:tblLook w:val="0000" w:firstRow="0" w:lastRow="0" w:firstColumn="0" w:lastColumn="0" w:noHBand="0" w:noVBand="0"/>
      </w:tblPr>
      <w:tblGrid>
        <w:gridCol w:w="4820"/>
        <w:gridCol w:w="1843"/>
        <w:gridCol w:w="2692"/>
      </w:tblGrid>
      <w:tr w:rsidR="006070FD" w:rsidRPr="00B5277D" w14:paraId="1A196252" w14:textId="77777777" w:rsidTr="00B5277D">
        <w:tc>
          <w:tcPr>
            <w:tcW w:w="4820" w:type="dxa"/>
          </w:tcPr>
          <w:p w14:paraId="13830023" w14:textId="77777777" w:rsidR="006070FD" w:rsidRPr="00B5277D" w:rsidRDefault="006070FD" w:rsidP="006070FD">
            <w:pPr>
              <w:tabs>
                <w:tab w:val="left" w:pos="3084"/>
              </w:tabs>
              <w:jc w:val="center"/>
              <w:rPr>
                <w:rFonts w:eastAsia="Calibri"/>
                <w:lang w:val="en-PH"/>
              </w:rPr>
            </w:pPr>
            <w:r w:rsidRPr="00B5277D">
              <w:rPr>
                <w:rFonts w:eastAsia="Calibri"/>
                <w:lang w:val="en-PH"/>
              </w:rPr>
              <w:t>GAD Concepts</w:t>
            </w:r>
          </w:p>
        </w:tc>
        <w:tc>
          <w:tcPr>
            <w:tcW w:w="1843" w:type="dxa"/>
          </w:tcPr>
          <w:p w14:paraId="23A8FA6F" w14:textId="77777777" w:rsidR="006070FD" w:rsidRPr="00B5277D" w:rsidRDefault="006070FD" w:rsidP="006070FD">
            <w:pPr>
              <w:tabs>
                <w:tab w:val="left" w:pos="3084"/>
              </w:tabs>
              <w:jc w:val="center"/>
              <w:rPr>
                <w:rFonts w:eastAsia="Calibri"/>
                <w:lang w:val="en-PH"/>
              </w:rPr>
            </w:pPr>
            <w:r w:rsidRPr="00B5277D">
              <w:rPr>
                <w:rFonts w:eastAsia="Calibri"/>
                <w:lang w:val="en-PH"/>
              </w:rPr>
              <w:t>Mean</w:t>
            </w:r>
          </w:p>
        </w:tc>
        <w:tc>
          <w:tcPr>
            <w:tcW w:w="2692" w:type="dxa"/>
          </w:tcPr>
          <w:p w14:paraId="249C4540" w14:textId="77777777" w:rsidR="006070FD" w:rsidRPr="00B5277D" w:rsidRDefault="006070FD" w:rsidP="006070FD">
            <w:pPr>
              <w:tabs>
                <w:tab w:val="left" w:pos="3084"/>
              </w:tabs>
              <w:jc w:val="center"/>
              <w:rPr>
                <w:rFonts w:eastAsia="Calibri"/>
                <w:lang w:val="en-PH"/>
              </w:rPr>
            </w:pPr>
            <w:r w:rsidRPr="00B5277D">
              <w:rPr>
                <w:rFonts w:eastAsia="Calibri"/>
                <w:lang w:val="en-PH"/>
              </w:rPr>
              <w:t>Verbal Interpretation</w:t>
            </w:r>
          </w:p>
        </w:tc>
      </w:tr>
      <w:tr w:rsidR="006070FD" w:rsidRPr="00B5277D" w14:paraId="2E7A1006" w14:textId="77777777" w:rsidTr="00B5277D">
        <w:tc>
          <w:tcPr>
            <w:tcW w:w="4820" w:type="dxa"/>
          </w:tcPr>
          <w:p w14:paraId="5ADDB4DC" w14:textId="77777777" w:rsidR="006070FD" w:rsidRPr="00B5277D" w:rsidRDefault="006070FD" w:rsidP="006070FD">
            <w:pPr>
              <w:tabs>
                <w:tab w:val="left" w:pos="3084"/>
              </w:tabs>
              <w:jc w:val="both"/>
              <w:rPr>
                <w:rFonts w:eastAsia="Calibri"/>
                <w:bCs/>
                <w:lang w:val="en-PH"/>
              </w:rPr>
            </w:pPr>
            <w:r w:rsidRPr="00B5277D">
              <w:rPr>
                <w:rFonts w:eastAsia="Calibri"/>
                <w:bCs/>
                <w:lang w:val="en-PH"/>
              </w:rPr>
              <w:t>GAD Planning and Budgeting</w:t>
            </w:r>
          </w:p>
        </w:tc>
        <w:tc>
          <w:tcPr>
            <w:tcW w:w="1843" w:type="dxa"/>
          </w:tcPr>
          <w:p w14:paraId="06704A4C" w14:textId="77777777" w:rsidR="006070FD" w:rsidRPr="00B5277D" w:rsidRDefault="006070FD" w:rsidP="006070FD">
            <w:pPr>
              <w:tabs>
                <w:tab w:val="left" w:pos="3084"/>
              </w:tabs>
              <w:jc w:val="center"/>
              <w:rPr>
                <w:rFonts w:eastAsia="Calibri"/>
                <w:lang w:val="en-PH"/>
              </w:rPr>
            </w:pPr>
            <w:r w:rsidRPr="00B5277D">
              <w:rPr>
                <w:rFonts w:eastAsia="Calibri"/>
                <w:lang w:val="en-PH"/>
              </w:rPr>
              <w:t>1.89</w:t>
            </w:r>
          </w:p>
        </w:tc>
        <w:tc>
          <w:tcPr>
            <w:tcW w:w="2692" w:type="dxa"/>
          </w:tcPr>
          <w:p w14:paraId="1CDEE814"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06FB629D" w14:textId="77777777" w:rsidTr="00B5277D">
        <w:tc>
          <w:tcPr>
            <w:tcW w:w="4820" w:type="dxa"/>
          </w:tcPr>
          <w:p w14:paraId="1BC577F8" w14:textId="77777777" w:rsidR="006070FD" w:rsidRPr="00B5277D" w:rsidRDefault="006070FD" w:rsidP="006070FD">
            <w:pPr>
              <w:tabs>
                <w:tab w:val="left" w:pos="3084"/>
              </w:tabs>
              <w:jc w:val="both"/>
              <w:rPr>
                <w:rFonts w:eastAsia="Calibri"/>
                <w:bCs/>
                <w:lang w:val="en-PH"/>
              </w:rPr>
            </w:pPr>
            <w:r w:rsidRPr="00B5277D">
              <w:rPr>
                <w:rFonts w:eastAsia="Calibri"/>
                <w:bCs/>
                <w:lang w:val="en-PH"/>
              </w:rPr>
              <w:t>Gender Analysis</w:t>
            </w:r>
          </w:p>
        </w:tc>
        <w:tc>
          <w:tcPr>
            <w:tcW w:w="1843" w:type="dxa"/>
          </w:tcPr>
          <w:p w14:paraId="01982B02" w14:textId="77777777" w:rsidR="006070FD" w:rsidRPr="00B5277D" w:rsidRDefault="006070FD" w:rsidP="006070FD">
            <w:pPr>
              <w:tabs>
                <w:tab w:val="left" w:pos="3084"/>
              </w:tabs>
              <w:jc w:val="center"/>
              <w:rPr>
                <w:rFonts w:eastAsia="Calibri"/>
                <w:lang w:val="en-PH"/>
              </w:rPr>
            </w:pPr>
            <w:r w:rsidRPr="00B5277D">
              <w:rPr>
                <w:rFonts w:eastAsia="Calibri"/>
                <w:lang w:val="en-PH"/>
              </w:rPr>
              <w:t>1.84</w:t>
            </w:r>
          </w:p>
        </w:tc>
        <w:tc>
          <w:tcPr>
            <w:tcW w:w="2692" w:type="dxa"/>
          </w:tcPr>
          <w:p w14:paraId="45B68AE6"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42106344" w14:textId="77777777" w:rsidTr="00B5277D">
        <w:tc>
          <w:tcPr>
            <w:tcW w:w="4820" w:type="dxa"/>
          </w:tcPr>
          <w:p w14:paraId="7502E3CB" w14:textId="77777777" w:rsidR="006070FD" w:rsidRPr="00B5277D" w:rsidRDefault="006070FD" w:rsidP="006070FD">
            <w:pPr>
              <w:tabs>
                <w:tab w:val="left" w:pos="3084"/>
              </w:tabs>
              <w:jc w:val="both"/>
              <w:rPr>
                <w:rFonts w:eastAsia="Calibri"/>
                <w:bCs/>
                <w:lang w:val="en-PH"/>
              </w:rPr>
            </w:pPr>
            <w:r w:rsidRPr="00B5277D">
              <w:rPr>
                <w:rFonts w:eastAsia="Calibri"/>
                <w:bCs/>
                <w:lang w:val="en-PH"/>
              </w:rPr>
              <w:t>Gender and Development (GAD)</w:t>
            </w:r>
          </w:p>
        </w:tc>
        <w:tc>
          <w:tcPr>
            <w:tcW w:w="1843" w:type="dxa"/>
          </w:tcPr>
          <w:p w14:paraId="0AE9DCE2" w14:textId="77777777" w:rsidR="006070FD" w:rsidRPr="00B5277D" w:rsidRDefault="006070FD" w:rsidP="006070FD">
            <w:pPr>
              <w:tabs>
                <w:tab w:val="left" w:pos="3084"/>
              </w:tabs>
              <w:jc w:val="center"/>
              <w:rPr>
                <w:rFonts w:eastAsia="Calibri"/>
                <w:lang w:val="en-PH"/>
              </w:rPr>
            </w:pPr>
            <w:r w:rsidRPr="00B5277D">
              <w:rPr>
                <w:rFonts w:eastAsia="Calibri"/>
                <w:lang w:val="en-PH"/>
              </w:rPr>
              <w:t>2.57</w:t>
            </w:r>
          </w:p>
        </w:tc>
        <w:tc>
          <w:tcPr>
            <w:tcW w:w="2692" w:type="dxa"/>
          </w:tcPr>
          <w:p w14:paraId="48CB8093" w14:textId="77777777" w:rsidR="006070FD" w:rsidRPr="00B5277D" w:rsidRDefault="006070FD" w:rsidP="006070FD">
            <w:pPr>
              <w:tabs>
                <w:tab w:val="left" w:pos="3084"/>
              </w:tabs>
              <w:jc w:val="center"/>
              <w:rPr>
                <w:rFonts w:eastAsia="Calibri"/>
                <w:lang w:val="en-PH"/>
              </w:rPr>
            </w:pPr>
            <w:r w:rsidRPr="00B5277D">
              <w:rPr>
                <w:rFonts w:eastAsia="Calibri"/>
                <w:lang w:val="en-PH"/>
              </w:rPr>
              <w:t>Familiar with it</w:t>
            </w:r>
          </w:p>
        </w:tc>
      </w:tr>
      <w:tr w:rsidR="006070FD" w:rsidRPr="00B5277D" w14:paraId="708A5B46" w14:textId="77777777" w:rsidTr="00B5277D">
        <w:tc>
          <w:tcPr>
            <w:tcW w:w="4820" w:type="dxa"/>
          </w:tcPr>
          <w:p w14:paraId="09BCF5B5" w14:textId="77777777" w:rsidR="006070FD" w:rsidRPr="00B5277D" w:rsidRDefault="006070FD" w:rsidP="006070FD">
            <w:pPr>
              <w:tabs>
                <w:tab w:val="left" w:pos="3084"/>
              </w:tabs>
              <w:jc w:val="both"/>
              <w:rPr>
                <w:rFonts w:eastAsia="Calibri"/>
                <w:bCs/>
                <w:lang w:val="en-PH"/>
              </w:rPr>
            </w:pPr>
            <w:r w:rsidRPr="00B5277D">
              <w:rPr>
                <w:rFonts w:eastAsia="Calibri"/>
                <w:bCs/>
                <w:lang w:val="en-PH"/>
              </w:rPr>
              <w:t>Gender Discrimination</w:t>
            </w:r>
          </w:p>
        </w:tc>
        <w:tc>
          <w:tcPr>
            <w:tcW w:w="1843" w:type="dxa"/>
          </w:tcPr>
          <w:p w14:paraId="312AD79A" w14:textId="77777777" w:rsidR="006070FD" w:rsidRPr="00B5277D" w:rsidRDefault="006070FD" w:rsidP="006070FD">
            <w:pPr>
              <w:tabs>
                <w:tab w:val="left" w:pos="3084"/>
              </w:tabs>
              <w:jc w:val="center"/>
              <w:rPr>
                <w:rFonts w:eastAsia="Calibri"/>
                <w:lang w:val="en-PH"/>
              </w:rPr>
            </w:pPr>
            <w:r w:rsidRPr="00B5277D">
              <w:rPr>
                <w:rFonts w:eastAsia="Calibri"/>
                <w:lang w:val="en-PH"/>
              </w:rPr>
              <w:t>2.61</w:t>
            </w:r>
          </w:p>
        </w:tc>
        <w:tc>
          <w:tcPr>
            <w:tcW w:w="2692" w:type="dxa"/>
          </w:tcPr>
          <w:p w14:paraId="539E0749" w14:textId="77777777" w:rsidR="006070FD" w:rsidRPr="00B5277D" w:rsidRDefault="006070FD" w:rsidP="006070FD">
            <w:pPr>
              <w:tabs>
                <w:tab w:val="left" w:pos="3084"/>
              </w:tabs>
              <w:jc w:val="center"/>
              <w:rPr>
                <w:rFonts w:eastAsia="Calibri"/>
                <w:lang w:val="en-PH"/>
              </w:rPr>
            </w:pPr>
            <w:r w:rsidRPr="00B5277D">
              <w:rPr>
                <w:rFonts w:eastAsia="Calibri"/>
                <w:lang w:val="en-PH"/>
              </w:rPr>
              <w:t>Familiar with it</w:t>
            </w:r>
          </w:p>
        </w:tc>
      </w:tr>
      <w:tr w:rsidR="006070FD" w:rsidRPr="00B5277D" w14:paraId="1D04E2DA" w14:textId="77777777" w:rsidTr="00B5277D">
        <w:tc>
          <w:tcPr>
            <w:tcW w:w="4820" w:type="dxa"/>
          </w:tcPr>
          <w:p w14:paraId="06DC91E1" w14:textId="77777777" w:rsidR="006070FD" w:rsidRPr="00B5277D" w:rsidRDefault="006070FD" w:rsidP="006070FD">
            <w:pPr>
              <w:tabs>
                <w:tab w:val="left" w:pos="3084"/>
              </w:tabs>
              <w:jc w:val="both"/>
              <w:rPr>
                <w:rFonts w:eastAsia="Calibri"/>
                <w:bCs/>
                <w:lang w:val="en-PH"/>
              </w:rPr>
            </w:pPr>
            <w:r w:rsidRPr="00B5277D">
              <w:rPr>
                <w:rFonts w:eastAsia="Calibri"/>
                <w:bCs/>
                <w:lang w:val="en-PH"/>
              </w:rPr>
              <w:t>Gender Equality</w:t>
            </w:r>
          </w:p>
        </w:tc>
        <w:tc>
          <w:tcPr>
            <w:tcW w:w="1843" w:type="dxa"/>
          </w:tcPr>
          <w:p w14:paraId="56D52B8B" w14:textId="77777777" w:rsidR="006070FD" w:rsidRPr="00B5277D" w:rsidRDefault="006070FD" w:rsidP="006070FD">
            <w:pPr>
              <w:tabs>
                <w:tab w:val="left" w:pos="3084"/>
              </w:tabs>
              <w:jc w:val="center"/>
              <w:rPr>
                <w:rFonts w:eastAsia="Calibri"/>
                <w:lang w:val="en-PH"/>
              </w:rPr>
            </w:pPr>
            <w:r w:rsidRPr="00B5277D">
              <w:rPr>
                <w:rFonts w:eastAsia="Calibri"/>
                <w:lang w:val="en-PH"/>
              </w:rPr>
              <w:t>2.48</w:t>
            </w:r>
          </w:p>
        </w:tc>
        <w:tc>
          <w:tcPr>
            <w:tcW w:w="2692" w:type="dxa"/>
          </w:tcPr>
          <w:p w14:paraId="4AF46649"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3DCBBD78" w14:textId="77777777" w:rsidTr="00B5277D">
        <w:tc>
          <w:tcPr>
            <w:tcW w:w="4820" w:type="dxa"/>
          </w:tcPr>
          <w:p w14:paraId="5F7F80FD" w14:textId="77777777" w:rsidR="006070FD" w:rsidRPr="00B5277D" w:rsidRDefault="006070FD" w:rsidP="006070FD">
            <w:pPr>
              <w:tabs>
                <w:tab w:val="left" w:pos="3084"/>
              </w:tabs>
              <w:rPr>
                <w:rFonts w:eastAsia="Calibri"/>
                <w:bCs/>
                <w:lang w:val="en-PH"/>
              </w:rPr>
            </w:pPr>
            <w:r w:rsidRPr="00B5277D">
              <w:rPr>
                <w:rFonts w:eastAsia="Calibri"/>
                <w:bCs/>
                <w:lang w:val="en-PH"/>
              </w:rPr>
              <w:t>Gender Equity</w:t>
            </w:r>
          </w:p>
        </w:tc>
        <w:tc>
          <w:tcPr>
            <w:tcW w:w="1843" w:type="dxa"/>
          </w:tcPr>
          <w:p w14:paraId="398441CD" w14:textId="77777777" w:rsidR="006070FD" w:rsidRPr="00B5277D" w:rsidRDefault="006070FD" w:rsidP="006070FD">
            <w:pPr>
              <w:tabs>
                <w:tab w:val="left" w:pos="3084"/>
              </w:tabs>
              <w:jc w:val="center"/>
              <w:rPr>
                <w:rFonts w:eastAsia="Calibri"/>
                <w:lang w:val="en-PH"/>
              </w:rPr>
            </w:pPr>
            <w:r w:rsidRPr="00B5277D">
              <w:rPr>
                <w:rFonts w:eastAsia="Calibri"/>
                <w:lang w:val="en-PH"/>
              </w:rPr>
              <w:t>2.30</w:t>
            </w:r>
          </w:p>
        </w:tc>
        <w:tc>
          <w:tcPr>
            <w:tcW w:w="2692" w:type="dxa"/>
          </w:tcPr>
          <w:p w14:paraId="21DD31C9"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736E21FA" w14:textId="77777777" w:rsidTr="00B5277D">
        <w:tc>
          <w:tcPr>
            <w:tcW w:w="4820" w:type="dxa"/>
          </w:tcPr>
          <w:p w14:paraId="4C306914" w14:textId="77777777" w:rsidR="006070FD" w:rsidRPr="00B5277D" w:rsidRDefault="006070FD" w:rsidP="006070FD">
            <w:pPr>
              <w:tabs>
                <w:tab w:val="left" w:pos="3084"/>
              </w:tabs>
              <w:jc w:val="both"/>
              <w:rPr>
                <w:rFonts w:eastAsia="Calibri"/>
                <w:bCs/>
                <w:lang w:val="en-PH"/>
              </w:rPr>
            </w:pPr>
            <w:r w:rsidRPr="00B5277D">
              <w:rPr>
                <w:rFonts w:eastAsia="Calibri"/>
                <w:bCs/>
                <w:lang w:val="en-PH"/>
              </w:rPr>
              <w:t>Gender Mainstreaming</w:t>
            </w:r>
          </w:p>
        </w:tc>
        <w:tc>
          <w:tcPr>
            <w:tcW w:w="1843" w:type="dxa"/>
          </w:tcPr>
          <w:p w14:paraId="783BFEDA" w14:textId="77777777" w:rsidR="006070FD" w:rsidRPr="00B5277D" w:rsidRDefault="006070FD" w:rsidP="006070FD">
            <w:pPr>
              <w:tabs>
                <w:tab w:val="left" w:pos="3084"/>
              </w:tabs>
              <w:jc w:val="center"/>
              <w:rPr>
                <w:rFonts w:eastAsia="Calibri"/>
                <w:lang w:val="en-PH"/>
              </w:rPr>
            </w:pPr>
            <w:r w:rsidRPr="00B5277D">
              <w:rPr>
                <w:rFonts w:eastAsia="Calibri"/>
                <w:lang w:val="en-PH"/>
              </w:rPr>
              <w:t>2.16</w:t>
            </w:r>
          </w:p>
        </w:tc>
        <w:tc>
          <w:tcPr>
            <w:tcW w:w="2692" w:type="dxa"/>
          </w:tcPr>
          <w:p w14:paraId="30ACE230"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5B881E35" w14:textId="77777777" w:rsidTr="00B5277D">
        <w:tc>
          <w:tcPr>
            <w:tcW w:w="4820" w:type="dxa"/>
          </w:tcPr>
          <w:p w14:paraId="631A6C27" w14:textId="77777777" w:rsidR="006070FD" w:rsidRPr="00B5277D" w:rsidRDefault="006070FD" w:rsidP="006070FD">
            <w:pPr>
              <w:tabs>
                <w:tab w:val="left" w:pos="3084"/>
              </w:tabs>
              <w:jc w:val="both"/>
              <w:rPr>
                <w:rFonts w:eastAsia="Calibri"/>
                <w:bCs/>
                <w:lang w:val="en-PH"/>
              </w:rPr>
            </w:pPr>
            <w:r w:rsidRPr="00B5277D">
              <w:rPr>
                <w:rFonts w:eastAsia="Calibri"/>
                <w:bCs/>
                <w:lang w:val="en-PH"/>
              </w:rPr>
              <w:t>Gender Perspective</w:t>
            </w:r>
          </w:p>
        </w:tc>
        <w:tc>
          <w:tcPr>
            <w:tcW w:w="1843" w:type="dxa"/>
          </w:tcPr>
          <w:p w14:paraId="07B40996" w14:textId="77777777" w:rsidR="006070FD" w:rsidRPr="00B5277D" w:rsidRDefault="006070FD" w:rsidP="006070FD">
            <w:pPr>
              <w:tabs>
                <w:tab w:val="left" w:pos="3084"/>
              </w:tabs>
              <w:jc w:val="center"/>
              <w:rPr>
                <w:rFonts w:eastAsia="Calibri"/>
                <w:lang w:val="en-PH"/>
              </w:rPr>
            </w:pPr>
            <w:r w:rsidRPr="00B5277D">
              <w:rPr>
                <w:rFonts w:eastAsia="Calibri"/>
                <w:lang w:val="en-PH"/>
              </w:rPr>
              <w:t>1.45</w:t>
            </w:r>
          </w:p>
        </w:tc>
        <w:tc>
          <w:tcPr>
            <w:tcW w:w="2692" w:type="dxa"/>
          </w:tcPr>
          <w:p w14:paraId="20E064CF" w14:textId="77777777" w:rsidR="006070FD" w:rsidRPr="00B5277D" w:rsidRDefault="006070FD" w:rsidP="006070FD">
            <w:pPr>
              <w:tabs>
                <w:tab w:val="left" w:pos="3084"/>
              </w:tabs>
              <w:jc w:val="center"/>
              <w:rPr>
                <w:rFonts w:eastAsia="Calibri"/>
                <w:lang w:val="en-PH"/>
              </w:rPr>
            </w:pPr>
            <w:r w:rsidRPr="00B5277D">
              <w:rPr>
                <w:rFonts w:eastAsia="Calibri"/>
                <w:lang w:val="en-PH"/>
              </w:rPr>
              <w:t>No idea</w:t>
            </w:r>
          </w:p>
        </w:tc>
      </w:tr>
      <w:tr w:rsidR="006070FD" w:rsidRPr="00B5277D" w14:paraId="4AA51F48" w14:textId="77777777" w:rsidTr="00B5277D">
        <w:tc>
          <w:tcPr>
            <w:tcW w:w="4820" w:type="dxa"/>
          </w:tcPr>
          <w:p w14:paraId="0FFBBC43" w14:textId="77777777" w:rsidR="006070FD" w:rsidRPr="00B5277D" w:rsidRDefault="006070FD" w:rsidP="006070FD">
            <w:pPr>
              <w:tabs>
                <w:tab w:val="left" w:pos="3084"/>
              </w:tabs>
              <w:jc w:val="both"/>
              <w:rPr>
                <w:rFonts w:eastAsia="Calibri"/>
                <w:bCs/>
                <w:lang w:val="en-PH"/>
              </w:rPr>
            </w:pPr>
            <w:r w:rsidRPr="00B5277D">
              <w:rPr>
                <w:rFonts w:eastAsia="Calibri"/>
                <w:bCs/>
                <w:lang w:val="en-PH"/>
              </w:rPr>
              <w:t>Gender Stereotypes</w:t>
            </w:r>
          </w:p>
        </w:tc>
        <w:tc>
          <w:tcPr>
            <w:tcW w:w="1843" w:type="dxa"/>
          </w:tcPr>
          <w:p w14:paraId="4772041F" w14:textId="77777777" w:rsidR="006070FD" w:rsidRPr="00B5277D" w:rsidRDefault="006070FD" w:rsidP="006070FD">
            <w:pPr>
              <w:tabs>
                <w:tab w:val="left" w:pos="3084"/>
              </w:tabs>
              <w:jc w:val="center"/>
              <w:rPr>
                <w:rFonts w:eastAsia="Calibri"/>
                <w:lang w:val="en-PH"/>
              </w:rPr>
            </w:pPr>
            <w:r w:rsidRPr="00B5277D">
              <w:rPr>
                <w:rFonts w:eastAsia="Calibri"/>
                <w:lang w:val="en-PH"/>
              </w:rPr>
              <w:t>2.27</w:t>
            </w:r>
          </w:p>
        </w:tc>
        <w:tc>
          <w:tcPr>
            <w:tcW w:w="2692" w:type="dxa"/>
          </w:tcPr>
          <w:p w14:paraId="7C14F26C"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6CA8121E" w14:textId="77777777" w:rsidTr="00B5277D">
        <w:tc>
          <w:tcPr>
            <w:tcW w:w="4820" w:type="dxa"/>
          </w:tcPr>
          <w:p w14:paraId="3BADE559" w14:textId="77777777" w:rsidR="006070FD" w:rsidRPr="00B5277D" w:rsidRDefault="006070FD" w:rsidP="006070FD">
            <w:pPr>
              <w:tabs>
                <w:tab w:val="left" w:pos="3084"/>
              </w:tabs>
              <w:jc w:val="both"/>
              <w:rPr>
                <w:rFonts w:eastAsia="Calibri"/>
                <w:bCs/>
                <w:lang w:val="en-PH"/>
              </w:rPr>
            </w:pPr>
            <w:r w:rsidRPr="00B5277D">
              <w:rPr>
                <w:rFonts w:eastAsia="Calibri"/>
                <w:bCs/>
                <w:lang w:val="en-PH"/>
              </w:rPr>
              <w:t>Sex and Gender</w:t>
            </w:r>
          </w:p>
        </w:tc>
        <w:tc>
          <w:tcPr>
            <w:tcW w:w="1843" w:type="dxa"/>
          </w:tcPr>
          <w:p w14:paraId="19445928" w14:textId="77777777" w:rsidR="006070FD" w:rsidRPr="00B5277D" w:rsidRDefault="006070FD" w:rsidP="006070FD">
            <w:pPr>
              <w:tabs>
                <w:tab w:val="left" w:pos="3084"/>
              </w:tabs>
              <w:jc w:val="center"/>
              <w:rPr>
                <w:rFonts w:eastAsia="Calibri"/>
                <w:lang w:val="en-PH"/>
              </w:rPr>
            </w:pPr>
            <w:r w:rsidRPr="00B5277D">
              <w:rPr>
                <w:rFonts w:eastAsia="Calibri"/>
                <w:lang w:val="en-PH"/>
              </w:rPr>
              <w:t>3.16</w:t>
            </w:r>
          </w:p>
        </w:tc>
        <w:tc>
          <w:tcPr>
            <w:tcW w:w="2692" w:type="dxa"/>
          </w:tcPr>
          <w:p w14:paraId="6E1D147E" w14:textId="77777777" w:rsidR="006070FD" w:rsidRPr="00B5277D" w:rsidRDefault="006070FD" w:rsidP="006070FD">
            <w:pPr>
              <w:tabs>
                <w:tab w:val="left" w:pos="3084"/>
              </w:tabs>
              <w:jc w:val="center"/>
              <w:rPr>
                <w:rFonts w:eastAsia="Calibri"/>
                <w:lang w:val="en-PH"/>
              </w:rPr>
            </w:pPr>
            <w:r w:rsidRPr="00B5277D">
              <w:rPr>
                <w:rFonts w:eastAsia="Calibri"/>
                <w:lang w:val="en-PH"/>
              </w:rPr>
              <w:t>Familiar with it</w:t>
            </w:r>
          </w:p>
        </w:tc>
      </w:tr>
      <w:tr w:rsidR="006070FD" w:rsidRPr="00B5277D" w14:paraId="4182FF50" w14:textId="77777777" w:rsidTr="00B5277D">
        <w:tc>
          <w:tcPr>
            <w:tcW w:w="4820" w:type="dxa"/>
          </w:tcPr>
          <w:p w14:paraId="06CBFBEB" w14:textId="77777777" w:rsidR="006070FD" w:rsidRPr="00B5277D" w:rsidRDefault="006070FD" w:rsidP="006070FD">
            <w:pPr>
              <w:tabs>
                <w:tab w:val="left" w:pos="3084"/>
              </w:tabs>
              <w:jc w:val="center"/>
              <w:rPr>
                <w:rFonts w:eastAsia="Calibri"/>
                <w:lang w:val="en-PH"/>
              </w:rPr>
            </w:pPr>
            <w:r w:rsidRPr="00B5277D">
              <w:rPr>
                <w:rFonts w:eastAsia="Calibri"/>
                <w:lang w:val="en-PH"/>
              </w:rPr>
              <w:t>Over-all Weighted Mean</w:t>
            </w:r>
          </w:p>
        </w:tc>
        <w:tc>
          <w:tcPr>
            <w:tcW w:w="1843" w:type="dxa"/>
          </w:tcPr>
          <w:p w14:paraId="5A8C12F4" w14:textId="77777777" w:rsidR="006070FD" w:rsidRPr="00B5277D" w:rsidRDefault="006070FD" w:rsidP="006070FD">
            <w:pPr>
              <w:tabs>
                <w:tab w:val="left" w:pos="3084"/>
              </w:tabs>
              <w:jc w:val="center"/>
              <w:rPr>
                <w:rFonts w:eastAsia="Calibri"/>
                <w:lang w:val="en-PH"/>
              </w:rPr>
            </w:pPr>
            <w:r w:rsidRPr="00B5277D">
              <w:rPr>
                <w:rFonts w:eastAsia="Calibri"/>
                <w:lang w:val="en-PH"/>
              </w:rPr>
              <w:t>2.27</w:t>
            </w:r>
          </w:p>
        </w:tc>
        <w:tc>
          <w:tcPr>
            <w:tcW w:w="2692" w:type="dxa"/>
          </w:tcPr>
          <w:p w14:paraId="4ABFF767" w14:textId="77777777" w:rsidR="006070FD" w:rsidRPr="00B5277D" w:rsidRDefault="006070FD" w:rsidP="006070FD">
            <w:pPr>
              <w:tabs>
                <w:tab w:val="left" w:pos="3084"/>
              </w:tabs>
              <w:jc w:val="center"/>
              <w:rPr>
                <w:rFonts w:eastAsia="Calibri"/>
                <w:bCs/>
                <w:lang w:val="en-PH"/>
              </w:rPr>
            </w:pPr>
            <w:r w:rsidRPr="00B5277D">
              <w:rPr>
                <w:rFonts w:eastAsia="Calibri"/>
                <w:bCs/>
                <w:lang w:val="en-PH"/>
              </w:rPr>
              <w:t>Know little about it</w:t>
            </w:r>
          </w:p>
        </w:tc>
      </w:tr>
    </w:tbl>
    <w:p w14:paraId="08EE51EA" w14:textId="01922941"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p>
    <w:p w14:paraId="39C93382" w14:textId="77777777" w:rsidR="006070FD" w:rsidRPr="00B5277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Table 2.1 illustrates the level of familiarity of Gender and Development Focal Point System (GFPS) members at Apayao State College with various Gender and Development (GAD) concepts. The overall weighted mean score of 2.27, which corresponds to the interpretation "know little about it," suggests that while GFPS members are somewhat </w:t>
      </w:r>
      <w:r w:rsidRPr="00B5277D">
        <w:rPr>
          <w:rFonts w:ascii="Times New Roman" w:eastAsia="SimSun" w:hAnsi="Times New Roman" w:cs="Times New Roman"/>
          <w:kern w:val="0"/>
          <w:sz w:val="22"/>
          <w:szCs w:val="22"/>
          <w:lang w:val="en-PH"/>
          <w14:ligatures w14:val="none"/>
        </w:rPr>
        <w:t>familiar with certain GAD concepts, there are substantial gaps in their knowledge. This indicates the need for targeted capacity-building efforts to increase their understanding of key GAD principles and frameworks.</w:t>
      </w:r>
    </w:p>
    <w:p w14:paraId="76C9D039" w14:textId="77777777" w:rsidR="006070FD" w:rsidRPr="00B5277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B5277D">
        <w:rPr>
          <w:rFonts w:ascii="Times New Roman" w:eastAsia="SimSun" w:hAnsi="Times New Roman" w:cs="Times New Roman"/>
          <w:kern w:val="0"/>
          <w:sz w:val="22"/>
          <w:szCs w:val="22"/>
          <w:lang w:val="en-PH"/>
          <w14:ligatures w14:val="none"/>
        </w:rPr>
        <w:t xml:space="preserve">The concept that scored the highest mean is </w:t>
      </w:r>
      <w:r w:rsidRPr="00B5277D">
        <w:rPr>
          <w:rFonts w:ascii="Times New Roman" w:eastAsia="SimSun" w:hAnsi="Times New Roman" w:cs="Times New Roman"/>
          <w:bCs/>
          <w:kern w:val="0"/>
          <w:sz w:val="22"/>
          <w:szCs w:val="22"/>
          <w:lang w:val="en-PH"/>
          <w14:ligatures w14:val="none"/>
        </w:rPr>
        <w:t>"Sex and Gender"</w:t>
      </w:r>
      <w:r w:rsidRPr="00B5277D">
        <w:rPr>
          <w:rFonts w:ascii="Times New Roman" w:eastAsia="SimSun" w:hAnsi="Times New Roman" w:cs="Times New Roman"/>
          <w:kern w:val="0"/>
          <w:sz w:val="22"/>
          <w:szCs w:val="22"/>
          <w:lang w:val="en-PH"/>
          <w14:ligatures w14:val="none"/>
        </w:rPr>
        <w:t xml:space="preserve"> with a mean of 3.16, which falls under the category "Familiar with it." This result suggests that GFPS members have a reasonable understanding of the distinction between sex and gender, an essential concept in gender mainstreaming. Knowledge of this concept is critical as it forms the foundation for addressing gender-related issues in various contexts. According to </w:t>
      </w:r>
      <w:r w:rsidRPr="00B5277D">
        <w:rPr>
          <w:rFonts w:ascii="Times New Roman" w:eastAsia="SimSun" w:hAnsi="Times New Roman" w:cs="Times New Roman"/>
          <w:bCs/>
          <w:kern w:val="0"/>
          <w:sz w:val="22"/>
          <w:szCs w:val="22"/>
          <w:lang w:val="en-PH"/>
          <w14:ligatures w14:val="none"/>
        </w:rPr>
        <w:t>Moser (2019)</w:t>
      </w:r>
      <w:r w:rsidRPr="00B5277D">
        <w:rPr>
          <w:rFonts w:ascii="Times New Roman" w:eastAsia="SimSun" w:hAnsi="Times New Roman" w:cs="Times New Roman"/>
          <w:kern w:val="0"/>
          <w:sz w:val="22"/>
          <w:szCs w:val="22"/>
          <w:lang w:val="en-PH"/>
          <w14:ligatures w14:val="none"/>
        </w:rPr>
        <w:t>, understanding the differences between sex (biological differences) and gender (socially constructed roles and identities) is fundamental to identifying gender inequalities and informing effective policy responses.</w:t>
      </w:r>
    </w:p>
    <w:p w14:paraId="37461E48" w14:textId="77777777" w:rsidR="006070FD" w:rsidRPr="00B5277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B5277D">
        <w:rPr>
          <w:rFonts w:ascii="Times New Roman" w:eastAsia="SimSun" w:hAnsi="Times New Roman" w:cs="Times New Roman"/>
          <w:kern w:val="0"/>
          <w:sz w:val="22"/>
          <w:szCs w:val="22"/>
          <w:lang w:val="en-PH"/>
          <w14:ligatures w14:val="none"/>
        </w:rPr>
        <w:t xml:space="preserve">On the other hand, several key concepts related to </w:t>
      </w:r>
      <w:r w:rsidRPr="00B5277D">
        <w:rPr>
          <w:rFonts w:ascii="Times New Roman" w:eastAsia="SimSun" w:hAnsi="Times New Roman" w:cs="Times New Roman"/>
          <w:bCs/>
          <w:kern w:val="0"/>
          <w:sz w:val="22"/>
          <w:szCs w:val="22"/>
          <w:lang w:val="en-PH"/>
          <w14:ligatures w14:val="none"/>
        </w:rPr>
        <w:t>gender mainstreaming</w:t>
      </w:r>
      <w:r w:rsidRPr="00B5277D">
        <w:rPr>
          <w:rFonts w:ascii="Times New Roman" w:eastAsia="SimSun" w:hAnsi="Times New Roman" w:cs="Times New Roman"/>
          <w:kern w:val="0"/>
          <w:sz w:val="22"/>
          <w:szCs w:val="22"/>
          <w:lang w:val="en-PH"/>
          <w14:ligatures w14:val="none"/>
        </w:rPr>
        <w:t xml:space="preserve"> received lower familiarity scores, particularly </w:t>
      </w:r>
      <w:r w:rsidRPr="00B5277D">
        <w:rPr>
          <w:rFonts w:ascii="Times New Roman" w:eastAsia="SimSun" w:hAnsi="Times New Roman" w:cs="Times New Roman"/>
          <w:bCs/>
          <w:kern w:val="0"/>
          <w:sz w:val="22"/>
          <w:szCs w:val="22"/>
          <w:lang w:val="en-PH"/>
          <w14:ligatures w14:val="none"/>
        </w:rPr>
        <w:t>"GAD Planning and Budgeting" (mean = 1.89)</w:t>
      </w:r>
      <w:r w:rsidRPr="00B5277D">
        <w:rPr>
          <w:rFonts w:ascii="Times New Roman" w:eastAsia="SimSun" w:hAnsi="Times New Roman" w:cs="Times New Roman"/>
          <w:kern w:val="0"/>
          <w:sz w:val="22"/>
          <w:szCs w:val="22"/>
          <w:lang w:val="en-PH"/>
          <w14:ligatures w14:val="none"/>
        </w:rPr>
        <w:t xml:space="preserve">, </w:t>
      </w:r>
      <w:r w:rsidRPr="00B5277D">
        <w:rPr>
          <w:rFonts w:ascii="Times New Roman" w:eastAsia="SimSun" w:hAnsi="Times New Roman" w:cs="Times New Roman"/>
          <w:bCs/>
          <w:kern w:val="0"/>
          <w:sz w:val="22"/>
          <w:szCs w:val="22"/>
          <w:lang w:val="en-PH"/>
          <w14:ligatures w14:val="none"/>
        </w:rPr>
        <w:t>"Gender Analysis" (mean = 1.84)</w:t>
      </w:r>
      <w:r w:rsidRPr="00B5277D">
        <w:rPr>
          <w:rFonts w:ascii="Times New Roman" w:eastAsia="SimSun" w:hAnsi="Times New Roman" w:cs="Times New Roman"/>
          <w:kern w:val="0"/>
          <w:sz w:val="22"/>
          <w:szCs w:val="22"/>
          <w:lang w:val="en-PH"/>
          <w14:ligatures w14:val="none"/>
        </w:rPr>
        <w:t xml:space="preserve">, </w:t>
      </w:r>
      <w:r w:rsidRPr="00B5277D">
        <w:rPr>
          <w:rFonts w:ascii="Times New Roman" w:eastAsia="SimSun" w:hAnsi="Times New Roman" w:cs="Times New Roman"/>
          <w:bCs/>
          <w:kern w:val="0"/>
          <w:sz w:val="22"/>
          <w:szCs w:val="22"/>
          <w:lang w:val="en-PH"/>
          <w14:ligatures w14:val="none"/>
        </w:rPr>
        <w:t>"Gender Equality" (mean = 2.48)</w:t>
      </w:r>
      <w:r w:rsidRPr="00B5277D">
        <w:rPr>
          <w:rFonts w:ascii="Times New Roman" w:eastAsia="SimSun" w:hAnsi="Times New Roman" w:cs="Times New Roman"/>
          <w:kern w:val="0"/>
          <w:sz w:val="22"/>
          <w:szCs w:val="22"/>
          <w:lang w:val="en-PH"/>
          <w14:ligatures w14:val="none"/>
        </w:rPr>
        <w:t xml:space="preserve">, </w:t>
      </w:r>
      <w:r w:rsidRPr="00B5277D">
        <w:rPr>
          <w:rFonts w:ascii="Times New Roman" w:eastAsia="SimSun" w:hAnsi="Times New Roman" w:cs="Times New Roman"/>
          <w:bCs/>
          <w:kern w:val="0"/>
          <w:sz w:val="22"/>
          <w:szCs w:val="22"/>
          <w:lang w:val="en-PH"/>
          <w14:ligatures w14:val="none"/>
        </w:rPr>
        <w:t>"Gender Equity" (mean = 2.30)</w:t>
      </w:r>
      <w:r w:rsidRPr="00B5277D">
        <w:rPr>
          <w:rFonts w:ascii="Times New Roman" w:eastAsia="SimSun" w:hAnsi="Times New Roman" w:cs="Times New Roman"/>
          <w:kern w:val="0"/>
          <w:sz w:val="22"/>
          <w:szCs w:val="22"/>
          <w:lang w:val="en-PH"/>
          <w14:ligatures w14:val="none"/>
        </w:rPr>
        <w:t xml:space="preserve">, and </w:t>
      </w:r>
      <w:r w:rsidRPr="00B5277D">
        <w:rPr>
          <w:rFonts w:ascii="Times New Roman" w:eastAsia="SimSun" w:hAnsi="Times New Roman" w:cs="Times New Roman"/>
          <w:bCs/>
          <w:kern w:val="0"/>
          <w:sz w:val="22"/>
          <w:szCs w:val="22"/>
          <w:lang w:val="en-PH"/>
          <w14:ligatures w14:val="none"/>
        </w:rPr>
        <w:t>"Gender Mainstreaming" (mean = 2.16)</w:t>
      </w:r>
      <w:r w:rsidRPr="00B5277D">
        <w:rPr>
          <w:rFonts w:ascii="Times New Roman" w:eastAsia="SimSun" w:hAnsi="Times New Roman" w:cs="Times New Roman"/>
          <w:kern w:val="0"/>
          <w:sz w:val="22"/>
          <w:szCs w:val="22"/>
          <w:lang w:val="en-PH"/>
          <w14:ligatures w14:val="none"/>
        </w:rPr>
        <w:t xml:space="preserve">. These concepts scored below the threshold of "familiar with it," indicating that the majority of GFPS members have only a limited understanding of how to integrate gender considerations into planning, budgeting, and institutional programs. The lower scores for </w:t>
      </w:r>
      <w:r w:rsidRPr="00B5277D">
        <w:rPr>
          <w:rFonts w:ascii="Times New Roman" w:eastAsia="SimSun" w:hAnsi="Times New Roman" w:cs="Times New Roman"/>
          <w:bCs/>
          <w:kern w:val="0"/>
          <w:sz w:val="22"/>
          <w:szCs w:val="22"/>
          <w:lang w:val="en-PH"/>
          <w14:ligatures w14:val="none"/>
        </w:rPr>
        <w:t>gender equality</w:t>
      </w:r>
      <w:r w:rsidRPr="00B5277D">
        <w:rPr>
          <w:rFonts w:ascii="Times New Roman" w:eastAsia="SimSun" w:hAnsi="Times New Roman" w:cs="Times New Roman"/>
          <w:kern w:val="0"/>
          <w:sz w:val="22"/>
          <w:szCs w:val="22"/>
          <w:lang w:val="en-PH"/>
          <w14:ligatures w14:val="none"/>
        </w:rPr>
        <w:t xml:space="preserve"> and </w:t>
      </w:r>
      <w:r w:rsidRPr="00B5277D">
        <w:rPr>
          <w:rFonts w:ascii="Times New Roman" w:eastAsia="SimSun" w:hAnsi="Times New Roman" w:cs="Times New Roman"/>
          <w:bCs/>
          <w:kern w:val="0"/>
          <w:sz w:val="22"/>
          <w:szCs w:val="22"/>
          <w:lang w:val="en-PH"/>
          <w14:ligatures w14:val="none"/>
        </w:rPr>
        <w:t>gender equity</w:t>
      </w:r>
      <w:r w:rsidRPr="00B5277D">
        <w:rPr>
          <w:rFonts w:ascii="Times New Roman" w:eastAsia="SimSun" w:hAnsi="Times New Roman" w:cs="Times New Roman"/>
          <w:kern w:val="0"/>
          <w:sz w:val="22"/>
          <w:szCs w:val="22"/>
          <w:lang w:val="en-PH"/>
          <w14:ligatures w14:val="none"/>
        </w:rPr>
        <w:t xml:space="preserve"> suggest a gap in understanding the fundamental principles of ensuring fair treatment and opportunities for all genders. </w:t>
      </w:r>
      <w:r w:rsidRPr="00B5277D">
        <w:rPr>
          <w:rFonts w:ascii="Times New Roman" w:eastAsia="SimSun" w:hAnsi="Times New Roman" w:cs="Times New Roman"/>
          <w:bCs/>
          <w:kern w:val="0"/>
          <w:sz w:val="22"/>
          <w:szCs w:val="22"/>
          <w:lang w:val="en-PH"/>
          <w14:ligatures w14:val="none"/>
        </w:rPr>
        <w:t>Dolan (2020)</w:t>
      </w:r>
      <w:r w:rsidRPr="00B5277D">
        <w:rPr>
          <w:rFonts w:ascii="Times New Roman" w:eastAsia="SimSun" w:hAnsi="Times New Roman" w:cs="Times New Roman"/>
          <w:kern w:val="0"/>
          <w:sz w:val="22"/>
          <w:szCs w:val="22"/>
          <w:lang w:val="en-PH"/>
          <w14:ligatures w14:val="none"/>
        </w:rPr>
        <w:t xml:space="preserve"> notes that effective gender mainstreaming requires a solid grasp of both gender equality (treating all genders equally) and gender equity (recognizing and addressing the different needs and </w:t>
      </w:r>
      <w:r w:rsidRPr="00B5277D">
        <w:rPr>
          <w:rFonts w:ascii="Times New Roman" w:eastAsia="SimSun" w:hAnsi="Times New Roman" w:cs="Times New Roman"/>
          <w:kern w:val="0"/>
          <w:sz w:val="22"/>
          <w:szCs w:val="22"/>
          <w:lang w:val="en-PH"/>
          <w14:ligatures w14:val="none"/>
        </w:rPr>
        <w:lastRenderedPageBreak/>
        <w:t>challenges faced by individuals based on their gender). The lack of familiarity with these concepts may hinder the GFPS members' ability to implement gender-responsive actions in their roles.</w:t>
      </w:r>
    </w:p>
    <w:p w14:paraId="18048880" w14:textId="77777777" w:rsidR="006070FD" w:rsidRPr="00B5277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B5277D">
        <w:rPr>
          <w:rFonts w:ascii="Times New Roman" w:eastAsia="SimSun" w:hAnsi="Times New Roman" w:cs="Times New Roman"/>
          <w:kern w:val="0"/>
          <w:sz w:val="22"/>
          <w:szCs w:val="22"/>
          <w:lang w:val="en-PH"/>
          <w14:ligatures w14:val="none"/>
        </w:rPr>
        <w:t xml:space="preserve">The concept of </w:t>
      </w:r>
      <w:r w:rsidRPr="00B5277D">
        <w:rPr>
          <w:rFonts w:ascii="Times New Roman" w:eastAsia="SimSun" w:hAnsi="Times New Roman" w:cs="Times New Roman"/>
          <w:bCs/>
          <w:kern w:val="0"/>
          <w:sz w:val="22"/>
          <w:szCs w:val="22"/>
          <w:lang w:val="en-PH"/>
          <w14:ligatures w14:val="none"/>
        </w:rPr>
        <w:t>"Gender Perspective"</w:t>
      </w:r>
      <w:r w:rsidRPr="00B5277D">
        <w:rPr>
          <w:rFonts w:ascii="Times New Roman" w:eastAsia="SimSun" w:hAnsi="Times New Roman" w:cs="Times New Roman"/>
          <w:kern w:val="0"/>
          <w:sz w:val="22"/>
          <w:szCs w:val="22"/>
          <w:lang w:val="en-PH"/>
          <w14:ligatures w14:val="none"/>
        </w:rPr>
        <w:t xml:space="preserve"> received the lowest mean score of 1.45, corresponding to the interpretation "No idea." This finding is particularly concerning, as understanding gender perspective is crucial for evaluating policies, practices, and behaviors through a gender lens. </w:t>
      </w:r>
      <w:r w:rsidRPr="00B5277D">
        <w:rPr>
          <w:rFonts w:ascii="Times New Roman" w:eastAsia="SimSun" w:hAnsi="Times New Roman" w:cs="Times New Roman"/>
          <w:bCs/>
          <w:kern w:val="0"/>
          <w:sz w:val="22"/>
          <w:szCs w:val="22"/>
          <w:lang w:val="en-PH"/>
          <w14:ligatures w14:val="none"/>
        </w:rPr>
        <w:t>Kabeer (2019)</w:t>
      </w:r>
      <w:r w:rsidRPr="00B5277D">
        <w:rPr>
          <w:rFonts w:ascii="Times New Roman" w:eastAsia="SimSun" w:hAnsi="Times New Roman" w:cs="Times New Roman"/>
          <w:kern w:val="0"/>
          <w:sz w:val="22"/>
          <w:szCs w:val="22"/>
          <w:lang w:val="en-PH"/>
          <w14:ligatures w14:val="none"/>
        </w:rPr>
        <w:t xml:space="preserve"> emphasizes the importance of adopting a gender perspective, which allows individuals and institutions to identify and challenge gender biases and power dynamics within society. The lack of awareness in this area signals a significant gap that needs to be addressed through further training.</w:t>
      </w:r>
    </w:p>
    <w:p w14:paraId="00F54FE6" w14:textId="77777777" w:rsidR="006070FD" w:rsidRPr="00B5277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B5277D">
        <w:rPr>
          <w:rFonts w:ascii="Times New Roman" w:eastAsia="SimSun" w:hAnsi="Times New Roman" w:cs="Times New Roman"/>
          <w:kern w:val="0"/>
          <w:sz w:val="22"/>
          <w:szCs w:val="22"/>
          <w:lang w:val="en-PH"/>
          <w14:ligatures w14:val="none"/>
        </w:rPr>
        <w:t xml:space="preserve">Additionally, </w:t>
      </w:r>
      <w:r w:rsidRPr="00B5277D">
        <w:rPr>
          <w:rFonts w:ascii="Times New Roman" w:eastAsia="SimSun" w:hAnsi="Times New Roman" w:cs="Times New Roman"/>
          <w:bCs/>
          <w:kern w:val="0"/>
          <w:sz w:val="22"/>
          <w:szCs w:val="22"/>
          <w:lang w:val="en-PH"/>
          <w14:ligatures w14:val="none"/>
        </w:rPr>
        <w:t>"Gender Stereotypes"</w:t>
      </w:r>
      <w:r w:rsidRPr="00B5277D">
        <w:rPr>
          <w:rFonts w:ascii="Times New Roman" w:eastAsia="SimSun" w:hAnsi="Times New Roman" w:cs="Times New Roman"/>
          <w:kern w:val="0"/>
          <w:sz w:val="22"/>
          <w:szCs w:val="22"/>
          <w:lang w:val="en-PH"/>
          <w14:ligatures w14:val="none"/>
        </w:rPr>
        <w:t xml:space="preserve"> scored a mean of 2.27, indicating that GFPS members possess only a limited understanding of gender stereotypes. These stereotypes often perpetuate gender inequalities by reinforcing rigid roles and expectations for individuals based on their gender. According to </w:t>
      </w:r>
      <w:r w:rsidRPr="00B5277D">
        <w:rPr>
          <w:rFonts w:ascii="Times New Roman" w:eastAsia="SimSun" w:hAnsi="Times New Roman" w:cs="Times New Roman"/>
          <w:bCs/>
          <w:kern w:val="0"/>
          <w:sz w:val="22"/>
          <w:szCs w:val="22"/>
          <w:lang w:val="en-PH"/>
          <w14:ligatures w14:val="none"/>
        </w:rPr>
        <w:t>Ridgeway (2021)</w:t>
      </w:r>
      <w:r w:rsidRPr="00B5277D">
        <w:rPr>
          <w:rFonts w:ascii="Times New Roman" w:eastAsia="SimSun" w:hAnsi="Times New Roman" w:cs="Times New Roman"/>
          <w:kern w:val="0"/>
          <w:sz w:val="22"/>
          <w:szCs w:val="22"/>
          <w:lang w:val="en-PH"/>
          <w14:ligatures w14:val="none"/>
        </w:rPr>
        <w:t>, challenging gender stereotypes is essential for promoting gender equality and breaking down barriers that prevent individuals from reaching their full potential.</w:t>
      </w:r>
    </w:p>
    <w:p w14:paraId="325DC8F7" w14:textId="63D6E37D" w:rsidR="006070FD" w:rsidRPr="00B5277D" w:rsidRDefault="006070FD" w:rsidP="00B5277D">
      <w:pPr>
        <w:widowControl w:val="0"/>
        <w:spacing w:before="43" w:after="0" w:line="240" w:lineRule="auto"/>
        <w:ind w:firstLine="567"/>
        <w:jc w:val="both"/>
        <w:rPr>
          <w:rFonts w:ascii="Times New Roman" w:eastAsia="SimSun" w:hAnsi="Times New Roman" w:cs="Times New Roman"/>
          <w:kern w:val="0"/>
          <w:sz w:val="20"/>
          <w:szCs w:val="20"/>
          <w:lang w:val="en-PH"/>
          <w14:ligatures w14:val="none"/>
        </w:rPr>
      </w:pPr>
      <w:r w:rsidRPr="00B5277D">
        <w:rPr>
          <w:rFonts w:ascii="Times New Roman" w:eastAsia="SimSun" w:hAnsi="Times New Roman" w:cs="Times New Roman"/>
          <w:kern w:val="0"/>
          <w:sz w:val="22"/>
          <w:szCs w:val="22"/>
          <w14:ligatures w14:val="none"/>
        </w:rPr>
        <w:t>T</w:t>
      </w:r>
      <w:r w:rsidRPr="00B5277D">
        <w:rPr>
          <w:rFonts w:ascii="Times New Roman" w:eastAsia="SimSun" w:hAnsi="Times New Roman" w:cs="Times New Roman"/>
          <w:kern w:val="0"/>
          <w:sz w:val="22"/>
          <w:szCs w:val="22"/>
          <w:lang w:val="en-PH"/>
          <w14:ligatures w14:val="none"/>
        </w:rPr>
        <w:t xml:space="preserve">he findings suggest that while GFPS members at Apayao State College are familiar with certain GAD concepts such as gender and development, gender discrimination, and sex and gender, there are notable gaps in their knowledge of more complex concepts such as gender planning, analysis, mainstreaming, and perspective. These gaps highlight the need for a comprehensive and targeted capacity-building program that focuses on enhancing the understanding of these crucial concepts. According to </w:t>
      </w:r>
      <w:r w:rsidRPr="00B5277D">
        <w:rPr>
          <w:rFonts w:ascii="Times New Roman" w:eastAsia="SimSun" w:hAnsi="Times New Roman" w:cs="Times New Roman"/>
          <w:bCs/>
          <w:kern w:val="0"/>
          <w:sz w:val="22"/>
          <w:szCs w:val="22"/>
          <w:lang w:val="en-PH"/>
          <w14:ligatures w14:val="none"/>
        </w:rPr>
        <w:t>Chant (2016)</w:t>
      </w:r>
      <w:r w:rsidRPr="00B5277D">
        <w:rPr>
          <w:rFonts w:ascii="Times New Roman" w:eastAsia="SimSun" w:hAnsi="Times New Roman" w:cs="Times New Roman"/>
          <w:kern w:val="0"/>
          <w:sz w:val="22"/>
          <w:szCs w:val="22"/>
          <w:lang w:val="en-PH"/>
          <w14:ligatures w14:val="none"/>
        </w:rPr>
        <w:t>, strengthening the capacity of GFPS members to understand and apply GAD concepts will significantly improve their ability to integrate gender considerations into the policies, programs, and activities of the institution, thereby contributing to greater gender equality and empowerme</w:t>
      </w:r>
      <w:r w:rsidR="00B5277D">
        <w:rPr>
          <w:rFonts w:ascii="Times New Roman" w:eastAsia="SimSun" w:hAnsi="Times New Roman" w:cs="Times New Roman"/>
          <w:kern w:val="0"/>
          <w:sz w:val="22"/>
          <w:szCs w:val="22"/>
          <w:lang w:val="en-PH"/>
          <w14:ligatures w14:val="none"/>
        </w:rPr>
        <w:t>nt.</w:t>
      </w:r>
      <w:r w:rsidR="00B5277D">
        <w:rPr>
          <w:rFonts w:ascii="Times New Roman" w:eastAsia="SimSun" w:hAnsi="Times New Roman" w:cs="Times New Roman"/>
          <w:kern w:val="0"/>
          <w:sz w:val="22"/>
          <w:szCs w:val="22"/>
          <w:lang w:val="en-PH"/>
          <w14:ligatures w14:val="none"/>
        </w:rPr>
        <w:br/>
      </w:r>
      <w:r w:rsidR="00B5277D">
        <w:rPr>
          <w:rFonts w:ascii="Times New Roman" w:eastAsia="SimSun" w:hAnsi="Times New Roman" w:cs="Times New Roman"/>
          <w:kern w:val="0"/>
          <w:sz w:val="22"/>
          <w:szCs w:val="22"/>
          <w:lang w:val="en-PH"/>
          <w14:ligatures w14:val="none"/>
        </w:rPr>
        <w:br/>
      </w:r>
      <w:r w:rsidRPr="00B5277D">
        <w:rPr>
          <w:rFonts w:ascii="Times New Roman" w:eastAsia="Calibri" w:hAnsi="Times New Roman" w:cs="Times New Roman"/>
          <w:bCs/>
          <w:iCs/>
          <w:sz w:val="20"/>
          <w:szCs w:val="20"/>
          <w:lang w:val="en-PH"/>
          <w14:ligatures w14:val="none"/>
        </w:rPr>
        <w:t xml:space="preserve">Table 2.2 </w:t>
      </w:r>
      <w:r w:rsidRPr="00B5277D">
        <w:rPr>
          <w:rFonts w:ascii="Times New Roman" w:eastAsia="Calibri" w:hAnsi="Times New Roman" w:cs="Times New Roman"/>
          <w:bCs/>
          <w:i/>
          <w:iCs/>
          <w:sz w:val="20"/>
          <w:szCs w:val="20"/>
          <w:lang w:val="en-PH"/>
          <w14:ligatures w14:val="none"/>
        </w:rPr>
        <w:t>Familiarity Level of GFPS members on GAD mandates and policies</w:t>
      </w:r>
    </w:p>
    <w:p w14:paraId="52F38C2A" w14:textId="77777777" w:rsidR="006070FD" w:rsidRPr="006070FD" w:rsidRDefault="006070FD" w:rsidP="006070FD">
      <w:pPr>
        <w:spacing w:after="0" w:line="240" w:lineRule="auto"/>
        <w:ind w:left="720"/>
        <w:contextualSpacing/>
        <w:jc w:val="both"/>
        <w:rPr>
          <w:rFonts w:ascii="Times New Roman" w:eastAsia="Calibri" w:hAnsi="Times New Roman" w:cs="Times New Roman"/>
          <w:b/>
          <w:sz w:val="22"/>
          <w:szCs w:val="22"/>
          <w:lang w:val="en-PH"/>
          <w14:ligatures w14:val="none"/>
        </w:rPr>
      </w:pPr>
    </w:p>
    <w:tbl>
      <w:tblPr>
        <w:tblStyle w:val="TableGrid"/>
        <w:tblW w:w="0" w:type="auto"/>
        <w:tblInd w:w="-5" w:type="dxa"/>
        <w:tblLook w:val="0000" w:firstRow="0" w:lastRow="0" w:firstColumn="0" w:lastColumn="0" w:noHBand="0" w:noVBand="0"/>
      </w:tblPr>
      <w:tblGrid>
        <w:gridCol w:w="5752"/>
        <w:gridCol w:w="911"/>
        <w:gridCol w:w="2692"/>
      </w:tblGrid>
      <w:tr w:rsidR="006070FD" w:rsidRPr="00B5277D" w14:paraId="466C215D" w14:textId="77777777" w:rsidTr="00B5277D">
        <w:tc>
          <w:tcPr>
            <w:tcW w:w="5752" w:type="dxa"/>
          </w:tcPr>
          <w:p w14:paraId="6454F854" w14:textId="77777777" w:rsidR="006070FD" w:rsidRPr="00B5277D" w:rsidRDefault="006070FD" w:rsidP="006070FD">
            <w:pPr>
              <w:tabs>
                <w:tab w:val="left" w:pos="3084"/>
              </w:tabs>
              <w:jc w:val="center"/>
              <w:rPr>
                <w:rFonts w:eastAsia="Calibri"/>
                <w:lang w:val="en-PH"/>
              </w:rPr>
            </w:pPr>
            <w:r w:rsidRPr="00B5277D">
              <w:rPr>
                <w:rFonts w:eastAsia="Calibri"/>
                <w:lang w:val="en-PH"/>
              </w:rPr>
              <w:t>GAD Mandates and Policies</w:t>
            </w:r>
          </w:p>
        </w:tc>
        <w:tc>
          <w:tcPr>
            <w:tcW w:w="911" w:type="dxa"/>
          </w:tcPr>
          <w:p w14:paraId="2AC79CE3" w14:textId="77777777" w:rsidR="006070FD" w:rsidRPr="00B5277D" w:rsidRDefault="006070FD" w:rsidP="006070FD">
            <w:pPr>
              <w:tabs>
                <w:tab w:val="left" w:pos="3084"/>
              </w:tabs>
              <w:jc w:val="center"/>
              <w:rPr>
                <w:rFonts w:eastAsia="Calibri"/>
                <w:lang w:val="en-PH"/>
              </w:rPr>
            </w:pPr>
            <w:r w:rsidRPr="00B5277D">
              <w:rPr>
                <w:rFonts w:eastAsia="Calibri"/>
                <w:lang w:val="en-PH"/>
              </w:rPr>
              <w:t>Mean</w:t>
            </w:r>
          </w:p>
        </w:tc>
        <w:tc>
          <w:tcPr>
            <w:tcW w:w="2692" w:type="dxa"/>
          </w:tcPr>
          <w:p w14:paraId="46DA794C" w14:textId="77777777" w:rsidR="006070FD" w:rsidRPr="00B5277D" w:rsidRDefault="006070FD" w:rsidP="006070FD">
            <w:pPr>
              <w:tabs>
                <w:tab w:val="left" w:pos="3084"/>
              </w:tabs>
              <w:jc w:val="center"/>
              <w:rPr>
                <w:rFonts w:eastAsia="Calibri"/>
                <w:lang w:val="en-PH"/>
              </w:rPr>
            </w:pPr>
            <w:r w:rsidRPr="00B5277D">
              <w:rPr>
                <w:rFonts w:eastAsia="Calibri"/>
                <w:lang w:val="en-PH"/>
              </w:rPr>
              <w:t>Verbal Interpretation</w:t>
            </w:r>
          </w:p>
        </w:tc>
      </w:tr>
      <w:tr w:rsidR="006070FD" w:rsidRPr="00B5277D" w14:paraId="0F95F375" w14:textId="77777777" w:rsidTr="00B5277D">
        <w:tc>
          <w:tcPr>
            <w:tcW w:w="5752" w:type="dxa"/>
            <w:vAlign w:val="center"/>
          </w:tcPr>
          <w:p w14:paraId="3D48D4F0" w14:textId="77777777" w:rsidR="006070FD" w:rsidRPr="00B5277D" w:rsidRDefault="006070FD" w:rsidP="006070FD">
            <w:pPr>
              <w:tabs>
                <w:tab w:val="left" w:pos="3084"/>
              </w:tabs>
              <w:rPr>
                <w:rFonts w:eastAsia="Calibri"/>
                <w:bCs/>
                <w:lang w:val="en-PH"/>
              </w:rPr>
            </w:pPr>
            <w:r w:rsidRPr="00B5277D">
              <w:rPr>
                <w:rFonts w:eastAsia="Calibri"/>
                <w:bCs/>
                <w:lang w:val="en-PH"/>
              </w:rPr>
              <w:t>Convention on the Elimination of All Forms of Discrimination Against Women (UN CEDAW)</w:t>
            </w:r>
          </w:p>
        </w:tc>
        <w:tc>
          <w:tcPr>
            <w:tcW w:w="911" w:type="dxa"/>
            <w:vAlign w:val="center"/>
          </w:tcPr>
          <w:p w14:paraId="2E1DC119" w14:textId="77777777" w:rsidR="006070FD" w:rsidRPr="00B5277D" w:rsidRDefault="006070FD" w:rsidP="006070FD">
            <w:pPr>
              <w:tabs>
                <w:tab w:val="left" w:pos="3084"/>
              </w:tabs>
              <w:jc w:val="center"/>
              <w:rPr>
                <w:rFonts w:eastAsia="Calibri"/>
                <w:lang w:val="en-PH"/>
              </w:rPr>
            </w:pPr>
            <w:r w:rsidRPr="00B5277D">
              <w:rPr>
                <w:rFonts w:eastAsia="Calibri"/>
                <w:lang w:val="en-PH"/>
              </w:rPr>
              <w:t>2.00</w:t>
            </w:r>
          </w:p>
        </w:tc>
        <w:tc>
          <w:tcPr>
            <w:tcW w:w="2692" w:type="dxa"/>
            <w:vAlign w:val="center"/>
          </w:tcPr>
          <w:p w14:paraId="4685A19E"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46E5DCD8" w14:textId="77777777" w:rsidTr="00B5277D">
        <w:tc>
          <w:tcPr>
            <w:tcW w:w="5752" w:type="dxa"/>
            <w:vAlign w:val="center"/>
          </w:tcPr>
          <w:p w14:paraId="06A986CE" w14:textId="77777777" w:rsidR="006070FD" w:rsidRPr="00B5277D" w:rsidRDefault="006070FD" w:rsidP="006070FD">
            <w:pPr>
              <w:tabs>
                <w:tab w:val="left" w:pos="3084"/>
              </w:tabs>
              <w:rPr>
                <w:rFonts w:eastAsia="Calibri"/>
                <w:bCs/>
                <w:lang w:val="en-PH"/>
              </w:rPr>
            </w:pPr>
            <w:r w:rsidRPr="00B5277D">
              <w:rPr>
                <w:rFonts w:eastAsia="Calibri"/>
                <w:bCs/>
                <w:lang w:val="en-PH"/>
              </w:rPr>
              <w:t>Beijing Platform for Action (BPfA)</w:t>
            </w:r>
          </w:p>
        </w:tc>
        <w:tc>
          <w:tcPr>
            <w:tcW w:w="911" w:type="dxa"/>
            <w:vAlign w:val="center"/>
          </w:tcPr>
          <w:p w14:paraId="30A54243" w14:textId="77777777" w:rsidR="006070FD" w:rsidRPr="00B5277D" w:rsidRDefault="006070FD" w:rsidP="006070FD">
            <w:pPr>
              <w:tabs>
                <w:tab w:val="left" w:pos="3084"/>
              </w:tabs>
              <w:jc w:val="center"/>
              <w:rPr>
                <w:rFonts w:eastAsia="Calibri"/>
                <w:lang w:val="en-PH"/>
              </w:rPr>
            </w:pPr>
            <w:r w:rsidRPr="00B5277D">
              <w:rPr>
                <w:rFonts w:eastAsia="Calibri"/>
                <w:lang w:val="en-PH"/>
              </w:rPr>
              <w:t>1.11</w:t>
            </w:r>
          </w:p>
        </w:tc>
        <w:tc>
          <w:tcPr>
            <w:tcW w:w="2692" w:type="dxa"/>
            <w:vAlign w:val="center"/>
          </w:tcPr>
          <w:p w14:paraId="4EEBCB5F" w14:textId="77777777" w:rsidR="006070FD" w:rsidRPr="00B5277D" w:rsidRDefault="006070FD" w:rsidP="006070FD">
            <w:pPr>
              <w:tabs>
                <w:tab w:val="left" w:pos="3084"/>
              </w:tabs>
              <w:jc w:val="center"/>
              <w:rPr>
                <w:rFonts w:eastAsia="Calibri"/>
                <w:lang w:val="en-PH"/>
              </w:rPr>
            </w:pPr>
            <w:r w:rsidRPr="00B5277D">
              <w:rPr>
                <w:rFonts w:eastAsia="Calibri"/>
                <w:lang w:val="en-PH"/>
              </w:rPr>
              <w:t>No idea</w:t>
            </w:r>
          </w:p>
        </w:tc>
      </w:tr>
      <w:tr w:rsidR="006070FD" w:rsidRPr="00B5277D" w14:paraId="59E5B3F2" w14:textId="77777777" w:rsidTr="00B5277D">
        <w:tc>
          <w:tcPr>
            <w:tcW w:w="5752" w:type="dxa"/>
            <w:vAlign w:val="center"/>
          </w:tcPr>
          <w:p w14:paraId="7B56226E" w14:textId="77777777" w:rsidR="006070FD" w:rsidRPr="00B5277D" w:rsidRDefault="006070FD" w:rsidP="006070FD">
            <w:pPr>
              <w:tabs>
                <w:tab w:val="left" w:pos="3084"/>
              </w:tabs>
              <w:rPr>
                <w:rFonts w:eastAsia="Calibri"/>
                <w:bCs/>
                <w:lang w:val="en-PH"/>
              </w:rPr>
            </w:pPr>
            <w:bookmarkStart w:id="2" w:name="_Hlk174536042"/>
            <w:r w:rsidRPr="00B5277D">
              <w:rPr>
                <w:rFonts w:eastAsia="Calibri"/>
                <w:bCs/>
                <w:lang w:val="en-PH"/>
              </w:rPr>
              <w:t>Sustainable Development Goals (SDGs)</w:t>
            </w:r>
          </w:p>
        </w:tc>
        <w:tc>
          <w:tcPr>
            <w:tcW w:w="911" w:type="dxa"/>
            <w:vAlign w:val="center"/>
          </w:tcPr>
          <w:p w14:paraId="3273DF9B" w14:textId="77777777" w:rsidR="006070FD" w:rsidRPr="00B5277D" w:rsidRDefault="006070FD" w:rsidP="006070FD">
            <w:pPr>
              <w:tabs>
                <w:tab w:val="left" w:pos="3084"/>
              </w:tabs>
              <w:jc w:val="center"/>
              <w:rPr>
                <w:rFonts w:eastAsia="Calibri"/>
                <w:lang w:val="en-PH"/>
              </w:rPr>
            </w:pPr>
            <w:r w:rsidRPr="00B5277D">
              <w:rPr>
                <w:rFonts w:eastAsia="Calibri"/>
                <w:lang w:val="en-PH"/>
              </w:rPr>
              <w:t>1.80</w:t>
            </w:r>
          </w:p>
        </w:tc>
        <w:tc>
          <w:tcPr>
            <w:tcW w:w="2692" w:type="dxa"/>
            <w:vAlign w:val="center"/>
          </w:tcPr>
          <w:p w14:paraId="22560AB6"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bookmarkEnd w:id="2"/>
      <w:tr w:rsidR="006070FD" w:rsidRPr="00B5277D" w14:paraId="4F93E8CA" w14:textId="77777777" w:rsidTr="00B5277D">
        <w:tc>
          <w:tcPr>
            <w:tcW w:w="5752" w:type="dxa"/>
            <w:vAlign w:val="center"/>
          </w:tcPr>
          <w:p w14:paraId="5C351DDC" w14:textId="77777777" w:rsidR="006070FD" w:rsidRPr="00B5277D" w:rsidRDefault="006070FD" w:rsidP="006070FD">
            <w:pPr>
              <w:tabs>
                <w:tab w:val="left" w:pos="3084"/>
              </w:tabs>
              <w:rPr>
                <w:rFonts w:eastAsia="Calibri"/>
                <w:bCs/>
                <w:lang w:val="en-PH"/>
              </w:rPr>
            </w:pPr>
            <w:r w:rsidRPr="00B5277D">
              <w:rPr>
                <w:rFonts w:eastAsia="Calibri"/>
                <w:bCs/>
                <w:lang w:val="en-PH"/>
              </w:rPr>
              <w:t>Philippine Plan for Gender-Responsive Development, (1995- 2025)</w:t>
            </w:r>
          </w:p>
        </w:tc>
        <w:tc>
          <w:tcPr>
            <w:tcW w:w="911" w:type="dxa"/>
            <w:vAlign w:val="center"/>
          </w:tcPr>
          <w:p w14:paraId="7CC75DAE" w14:textId="77777777" w:rsidR="006070FD" w:rsidRPr="00B5277D" w:rsidRDefault="006070FD" w:rsidP="006070FD">
            <w:pPr>
              <w:tabs>
                <w:tab w:val="left" w:pos="3084"/>
              </w:tabs>
              <w:jc w:val="center"/>
              <w:rPr>
                <w:rFonts w:eastAsia="Calibri"/>
                <w:lang w:val="en-PH"/>
              </w:rPr>
            </w:pPr>
            <w:r w:rsidRPr="00B5277D">
              <w:rPr>
                <w:rFonts w:eastAsia="Calibri"/>
                <w:lang w:val="en-PH"/>
              </w:rPr>
              <w:t>1.40</w:t>
            </w:r>
          </w:p>
        </w:tc>
        <w:tc>
          <w:tcPr>
            <w:tcW w:w="2692" w:type="dxa"/>
            <w:vAlign w:val="center"/>
          </w:tcPr>
          <w:p w14:paraId="0761D779" w14:textId="77777777" w:rsidR="006070FD" w:rsidRPr="00B5277D" w:rsidRDefault="006070FD" w:rsidP="006070FD">
            <w:pPr>
              <w:tabs>
                <w:tab w:val="left" w:pos="3084"/>
              </w:tabs>
              <w:jc w:val="center"/>
              <w:rPr>
                <w:rFonts w:eastAsia="Calibri"/>
                <w:lang w:val="en-PH"/>
              </w:rPr>
            </w:pPr>
            <w:r w:rsidRPr="00B5277D">
              <w:rPr>
                <w:rFonts w:eastAsia="Calibri"/>
                <w:lang w:val="en-PH"/>
              </w:rPr>
              <w:t>No idea</w:t>
            </w:r>
          </w:p>
        </w:tc>
      </w:tr>
      <w:tr w:rsidR="006070FD" w:rsidRPr="00B5277D" w14:paraId="2725528E" w14:textId="77777777" w:rsidTr="00B5277D">
        <w:tc>
          <w:tcPr>
            <w:tcW w:w="5752" w:type="dxa"/>
            <w:vAlign w:val="center"/>
          </w:tcPr>
          <w:p w14:paraId="7856712F" w14:textId="77777777" w:rsidR="006070FD" w:rsidRPr="00B5277D" w:rsidRDefault="006070FD" w:rsidP="006070FD">
            <w:pPr>
              <w:tabs>
                <w:tab w:val="left" w:pos="3084"/>
              </w:tabs>
              <w:rPr>
                <w:rFonts w:eastAsia="Calibri"/>
                <w:bCs/>
                <w:lang w:val="en-PH"/>
              </w:rPr>
            </w:pPr>
            <w:r w:rsidRPr="00B5277D">
              <w:rPr>
                <w:rFonts w:eastAsia="Calibri"/>
                <w:bCs/>
                <w:lang w:val="en-PH"/>
              </w:rPr>
              <w:t xml:space="preserve">Section </w:t>
            </w:r>
            <w:bookmarkStart w:id="3" w:name="_Hlk174536069"/>
            <w:r w:rsidRPr="00B5277D">
              <w:rPr>
                <w:rFonts w:eastAsia="Calibri"/>
                <w:bCs/>
                <w:lang w:val="en-PH"/>
              </w:rPr>
              <w:t>on GAD in the General Appropriations Act</w:t>
            </w:r>
            <w:bookmarkEnd w:id="3"/>
          </w:p>
        </w:tc>
        <w:tc>
          <w:tcPr>
            <w:tcW w:w="911" w:type="dxa"/>
            <w:vAlign w:val="center"/>
          </w:tcPr>
          <w:p w14:paraId="2741162E" w14:textId="77777777" w:rsidR="006070FD" w:rsidRPr="00B5277D" w:rsidRDefault="006070FD" w:rsidP="006070FD">
            <w:pPr>
              <w:tabs>
                <w:tab w:val="left" w:pos="3084"/>
              </w:tabs>
              <w:jc w:val="center"/>
              <w:rPr>
                <w:rFonts w:eastAsia="Calibri"/>
                <w:lang w:val="en-PH"/>
              </w:rPr>
            </w:pPr>
            <w:r w:rsidRPr="00B5277D">
              <w:rPr>
                <w:rFonts w:eastAsia="Calibri"/>
                <w:lang w:val="en-PH"/>
              </w:rPr>
              <w:t>1.89</w:t>
            </w:r>
          </w:p>
        </w:tc>
        <w:tc>
          <w:tcPr>
            <w:tcW w:w="2692" w:type="dxa"/>
            <w:vAlign w:val="center"/>
          </w:tcPr>
          <w:p w14:paraId="06FCB12A"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67EC55D5" w14:textId="77777777" w:rsidTr="00B5277D">
        <w:tc>
          <w:tcPr>
            <w:tcW w:w="5752" w:type="dxa"/>
            <w:vAlign w:val="center"/>
          </w:tcPr>
          <w:p w14:paraId="5DDCD133" w14:textId="77777777" w:rsidR="006070FD" w:rsidRPr="00B5277D" w:rsidRDefault="006070FD" w:rsidP="006070FD">
            <w:pPr>
              <w:tabs>
                <w:tab w:val="left" w:pos="3084"/>
              </w:tabs>
              <w:rPr>
                <w:rFonts w:eastAsia="Calibri"/>
                <w:bCs/>
                <w:lang w:val="en-PH"/>
              </w:rPr>
            </w:pPr>
            <w:r w:rsidRPr="00B5277D">
              <w:rPr>
                <w:rFonts w:eastAsia="Calibri"/>
                <w:bCs/>
                <w:lang w:val="en-PH"/>
              </w:rPr>
              <w:t>Republic Act 7192 (Women in Development and Nation Building Act of 1992)</w:t>
            </w:r>
          </w:p>
        </w:tc>
        <w:tc>
          <w:tcPr>
            <w:tcW w:w="911" w:type="dxa"/>
            <w:vAlign w:val="center"/>
          </w:tcPr>
          <w:p w14:paraId="7B527388" w14:textId="77777777" w:rsidR="006070FD" w:rsidRPr="00B5277D" w:rsidRDefault="006070FD" w:rsidP="006070FD">
            <w:pPr>
              <w:tabs>
                <w:tab w:val="left" w:pos="3084"/>
              </w:tabs>
              <w:jc w:val="center"/>
              <w:rPr>
                <w:rFonts w:eastAsia="Calibri"/>
                <w:lang w:val="en-PH"/>
              </w:rPr>
            </w:pPr>
            <w:r w:rsidRPr="00B5277D">
              <w:rPr>
                <w:rFonts w:eastAsia="Calibri"/>
                <w:lang w:val="en-PH"/>
              </w:rPr>
              <w:t>1.39</w:t>
            </w:r>
          </w:p>
        </w:tc>
        <w:tc>
          <w:tcPr>
            <w:tcW w:w="2692" w:type="dxa"/>
            <w:vAlign w:val="center"/>
          </w:tcPr>
          <w:p w14:paraId="252718BA" w14:textId="77777777" w:rsidR="006070FD" w:rsidRPr="00B5277D" w:rsidRDefault="006070FD" w:rsidP="006070FD">
            <w:pPr>
              <w:tabs>
                <w:tab w:val="left" w:pos="3084"/>
              </w:tabs>
              <w:jc w:val="center"/>
              <w:rPr>
                <w:rFonts w:eastAsia="Calibri"/>
                <w:lang w:val="en-PH"/>
              </w:rPr>
            </w:pPr>
            <w:r w:rsidRPr="00B5277D">
              <w:rPr>
                <w:rFonts w:eastAsia="Calibri"/>
                <w:lang w:val="en-PH"/>
              </w:rPr>
              <w:t>No idea</w:t>
            </w:r>
          </w:p>
        </w:tc>
      </w:tr>
      <w:tr w:rsidR="006070FD" w:rsidRPr="00B5277D" w14:paraId="502E4B88" w14:textId="77777777" w:rsidTr="00B5277D">
        <w:tc>
          <w:tcPr>
            <w:tcW w:w="5752" w:type="dxa"/>
            <w:vAlign w:val="center"/>
          </w:tcPr>
          <w:p w14:paraId="70A5CA68" w14:textId="77777777" w:rsidR="006070FD" w:rsidRPr="00B5277D" w:rsidRDefault="006070FD" w:rsidP="006070FD">
            <w:pPr>
              <w:tabs>
                <w:tab w:val="left" w:pos="3084"/>
              </w:tabs>
              <w:rPr>
                <w:rFonts w:eastAsia="Calibri"/>
                <w:bCs/>
                <w:lang w:val="en-PH"/>
              </w:rPr>
            </w:pPr>
            <w:r w:rsidRPr="00B5277D">
              <w:rPr>
                <w:rFonts w:eastAsia="Calibri"/>
                <w:bCs/>
                <w:lang w:val="en-PH"/>
              </w:rPr>
              <w:t>Republic Act 7877 (Anti-Sexual Harassment Act of 1997)</w:t>
            </w:r>
          </w:p>
        </w:tc>
        <w:tc>
          <w:tcPr>
            <w:tcW w:w="911" w:type="dxa"/>
            <w:vAlign w:val="center"/>
          </w:tcPr>
          <w:p w14:paraId="2352E58E" w14:textId="77777777" w:rsidR="006070FD" w:rsidRPr="00B5277D" w:rsidRDefault="006070FD" w:rsidP="006070FD">
            <w:pPr>
              <w:tabs>
                <w:tab w:val="left" w:pos="3084"/>
              </w:tabs>
              <w:jc w:val="center"/>
              <w:rPr>
                <w:rFonts w:eastAsia="Calibri"/>
                <w:lang w:val="en-PH"/>
              </w:rPr>
            </w:pPr>
            <w:r w:rsidRPr="00B5277D">
              <w:rPr>
                <w:rFonts w:eastAsia="Calibri"/>
                <w:lang w:val="en-PH"/>
              </w:rPr>
              <w:t>2.25</w:t>
            </w:r>
          </w:p>
          <w:p w14:paraId="3E3D301C" w14:textId="77777777" w:rsidR="006070FD" w:rsidRPr="00B5277D" w:rsidRDefault="006070FD" w:rsidP="006070FD">
            <w:pPr>
              <w:tabs>
                <w:tab w:val="left" w:pos="3084"/>
              </w:tabs>
              <w:jc w:val="center"/>
              <w:rPr>
                <w:rFonts w:eastAsia="Calibri"/>
                <w:lang w:val="en-PH"/>
              </w:rPr>
            </w:pPr>
          </w:p>
        </w:tc>
        <w:tc>
          <w:tcPr>
            <w:tcW w:w="2692" w:type="dxa"/>
            <w:vAlign w:val="center"/>
          </w:tcPr>
          <w:p w14:paraId="4C6B6C80"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0E49DE27" w14:textId="77777777" w:rsidTr="00B5277D">
        <w:tc>
          <w:tcPr>
            <w:tcW w:w="5752" w:type="dxa"/>
            <w:vAlign w:val="center"/>
          </w:tcPr>
          <w:p w14:paraId="1B1482DD" w14:textId="605E73E8" w:rsidR="006070FD" w:rsidRPr="00B5277D" w:rsidRDefault="006070FD" w:rsidP="006070FD">
            <w:pPr>
              <w:tabs>
                <w:tab w:val="left" w:pos="3084"/>
              </w:tabs>
              <w:rPr>
                <w:rFonts w:eastAsia="Calibri"/>
                <w:bCs/>
                <w:lang w:val="en-PH"/>
              </w:rPr>
            </w:pPr>
            <w:bookmarkStart w:id="4" w:name="_Hlk174536134"/>
            <w:r w:rsidRPr="00B5277D">
              <w:rPr>
                <w:rFonts w:eastAsia="Calibri"/>
                <w:bCs/>
                <w:lang w:val="en-PH"/>
              </w:rPr>
              <w:t>Republic Act 8353 and 8505 (Anti-Rape Law of 1997 and Rape Victims Assistance and Protection Act of 1998)</w:t>
            </w:r>
            <w:bookmarkEnd w:id="4"/>
          </w:p>
        </w:tc>
        <w:tc>
          <w:tcPr>
            <w:tcW w:w="911" w:type="dxa"/>
            <w:vAlign w:val="center"/>
          </w:tcPr>
          <w:p w14:paraId="7CED25AF" w14:textId="77777777" w:rsidR="006070FD" w:rsidRPr="00B5277D" w:rsidRDefault="006070FD" w:rsidP="006070FD">
            <w:pPr>
              <w:tabs>
                <w:tab w:val="left" w:pos="3084"/>
              </w:tabs>
              <w:jc w:val="center"/>
              <w:rPr>
                <w:rFonts w:eastAsia="Calibri"/>
                <w:lang w:val="en-PH"/>
              </w:rPr>
            </w:pPr>
            <w:r w:rsidRPr="00B5277D">
              <w:rPr>
                <w:rFonts w:eastAsia="Calibri"/>
                <w:lang w:val="en-PH"/>
              </w:rPr>
              <w:t>2.16</w:t>
            </w:r>
          </w:p>
        </w:tc>
        <w:tc>
          <w:tcPr>
            <w:tcW w:w="2692" w:type="dxa"/>
            <w:vAlign w:val="center"/>
          </w:tcPr>
          <w:p w14:paraId="30CB9CC4"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52E253BB" w14:textId="77777777" w:rsidTr="00B5277D">
        <w:tc>
          <w:tcPr>
            <w:tcW w:w="5752" w:type="dxa"/>
            <w:vAlign w:val="center"/>
          </w:tcPr>
          <w:p w14:paraId="42DC3491" w14:textId="365929FB" w:rsidR="006070FD" w:rsidRPr="00B5277D" w:rsidRDefault="006070FD" w:rsidP="006070FD">
            <w:pPr>
              <w:tabs>
                <w:tab w:val="left" w:pos="3084"/>
              </w:tabs>
              <w:rPr>
                <w:rFonts w:eastAsia="Calibri"/>
                <w:bCs/>
                <w:lang w:val="en-PH"/>
              </w:rPr>
            </w:pPr>
            <w:bookmarkStart w:id="5" w:name="_Hlk174536152"/>
            <w:r w:rsidRPr="00B5277D">
              <w:rPr>
                <w:rFonts w:eastAsia="Calibri"/>
                <w:bCs/>
                <w:lang w:val="en-PH"/>
              </w:rPr>
              <w:t>Republic Act 9262 (Anti Violence against Women and their Children Act of 2004)</w:t>
            </w:r>
            <w:bookmarkEnd w:id="5"/>
          </w:p>
        </w:tc>
        <w:tc>
          <w:tcPr>
            <w:tcW w:w="911" w:type="dxa"/>
            <w:vAlign w:val="center"/>
          </w:tcPr>
          <w:p w14:paraId="14D97393" w14:textId="77777777" w:rsidR="006070FD" w:rsidRPr="00B5277D" w:rsidRDefault="006070FD" w:rsidP="006070FD">
            <w:pPr>
              <w:tabs>
                <w:tab w:val="left" w:pos="3084"/>
              </w:tabs>
              <w:jc w:val="center"/>
              <w:rPr>
                <w:rFonts w:eastAsia="Calibri"/>
                <w:lang w:val="en-PH"/>
              </w:rPr>
            </w:pPr>
            <w:r w:rsidRPr="00B5277D">
              <w:rPr>
                <w:rFonts w:eastAsia="Calibri"/>
                <w:lang w:val="en-PH"/>
              </w:rPr>
              <w:t>2.39</w:t>
            </w:r>
          </w:p>
        </w:tc>
        <w:tc>
          <w:tcPr>
            <w:tcW w:w="2692" w:type="dxa"/>
            <w:vAlign w:val="center"/>
          </w:tcPr>
          <w:p w14:paraId="75337A28"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7B81D324" w14:textId="77777777" w:rsidTr="00B5277D">
        <w:tc>
          <w:tcPr>
            <w:tcW w:w="5752" w:type="dxa"/>
            <w:vAlign w:val="center"/>
          </w:tcPr>
          <w:p w14:paraId="4FB308DF" w14:textId="4BDE948A" w:rsidR="006070FD" w:rsidRPr="00B5277D" w:rsidRDefault="006070FD" w:rsidP="006070FD">
            <w:pPr>
              <w:tabs>
                <w:tab w:val="left" w:pos="3084"/>
              </w:tabs>
              <w:rPr>
                <w:rFonts w:eastAsia="Calibri"/>
                <w:bCs/>
                <w:lang w:val="en-PH"/>
              </w:rPr>
            </w:pPr>
            <w:bookmarkStart w:id="6" w:name="_Hlk174536168"/>
            <w:r w:rsidRPr="00B5277D">
              <w:rPr>
                <w:rFonts w:eastAsia="Calibri"/>
                <w:bCs/>
                <w:lang w:val="en-PH"/>
              </w:rPr>
              <w:t>Republic Act 9710 (Magna Carta of Women)</w:t>
            </w:r>
            <w:bookmarkEnd w:id="6"/>
          </w:p>
        </w:tc>
        <w:tc>
          <w:tcPr>
            <w:tcW w:w="911" w:type="dxa"/>
            <w:vAlign w:val="center"/>
          </w:tcPr>
          <w:p w14:paraId="226827FC" w14:textId="77777777" w:rsidR="006070FD" w:rsidRPr="00B5277D" w:rsidRDefault="006070FD" w:rsidP="006070FD">
            <w:pPr>
              <w:tabs>
                <w:tab w:val="left" w:pos="3084"/>
              </w:tabs>
              <w:jc w:val="center"/>
              <w:rPr>
                <w:rFonts w:eastAsia="Calibri"/>
                <w:lang w:val="en-PH"/>
              </w:rPr>
            </w:pPr>
            <w:r w:rsidRPr="00B5277D">
              <w:rPr>
                <w:rFonts w:eastAsia="Calibri"/>
                <w:lang w:val="en-PH"/>
              </w:rPr>
              <w:t>2.11</w:t>
            </w:r>
          </w:p>
        </w:tc>
        <w:tc>
          <w:tcPr>
            <w:tcW w:w="2692" w:type="dxa"/>
            <w:vAlign w:val="center"/>
          </w:tcPr>
          <w:p w14:paraId="10D2A147"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5FB42989" w14:textId="77777777" w:rsidTr="00B5277D">
        <w:tc>
          <w:tcPr>
            <w:tcW w:w="5752" w:type="dxa"/>
            <w:vAlign w:val="center"/>
          </w:tcPr>
          <w:p w14:paraId="3E8E0EAE" w14:textId="77777777" w:rsidR="006070FD" w:rsidRPr="00B5277D" w:rsidRDefault="006070FD" w:rsidP="006070FD">
            <w:pPr>
              <w:tabs>
                <w:tab w:val="left" w:pos="3084"/>
              </w:tabs>
              <w:rPr>
                <w:rFonts w:eastAsia="Calibri"/>
                <w:bCs/>
                <w:lang w:val="en-PH"/>
              </w:rPr>
            </w:pPr>
            <w:r w:rsidRPr="00B5277D">
              <w:rPr>
                <w:rFonts w:eastAsia="Calibri"/>
                <w:bCs/>
                <w:lang w:val="en-PH"/>
              </w:rPr>
              <w:t>Republic Act 10354 (Responsible Parenthood and Reproductive Health Act of 2012)</w:t>
            </w:r>
          </w:p>
        </w:tc>
        <w:tc>
          <w:tcPr>
            <w:tcW w:w="911" w:type="dxa"/>
            <w:vAlign w:val="center"/>
          </w:tcPr>
          <w:p w14:paraId="6AD5F3C3" w14:textId="77777777" w:rsidR="006070FD" w:rsidRPr="00B5277D" w:rsidRDefault="006070FD" w:rsidP="006070FD">
            <w:pPr>
              <w:tabs>
                <w:tab w:val="left" w:pos="3084"/>
              </w:tabs>
              <w:jc w:val="center"/>
              <w:rPr>
                <w:rFonts w:eastAsia="Calibri"/>
                <w:lang w:val="en-PH"/>
              </w:rPr>
            </w:pPr>
            <w:r w:rsidRPr="00B5277D">
              <w:rPr>
                <w:rFonts w:eastAsia="Calibri"/>
                <w:lang w:val="en-PH"/>
              </w:rPr>
              <w:t>2.25</w:t>
            </w:r>
          </w:p>
        </w:tc>
        <w:tc>
          <w:tcPr>
            <w:tcW w:w="2692" w:type="dxa"/>
            <w:vAlign w:val="center"/>
          </w:tcPr>
          <w:p w14:paraId="2CF575C7"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67AD73BE" w14:textId="77777777" w:rsidTr="00B5277D">
        <w:tc>
          <w:tcPr>
            <w:tcW w:w="5752" w:type="dxa"/>
            <w:vAlign w:val="center"/>
          </w:tcPr>
          <w:p w14:paraId="1DAA493C" w14:textId="77777777" w:rsidR="006070FD" w:rsidRPr="00B5277D" w:rsidRDefault="006070FD" w:rsidP="006070FD">
            <w:pPr>
              <w:tabs>
                <w:tab w:val="left" w:pos="3084"/>
              </w:tabs>
              <w:rPr>
                <w:rFonts w:eastAsia="Calibri"/>
                <w:bCs/>
                <w:lang w:val="en-PH"/>
              </w:rPr>
            </w:pPr>
            <w:r w:rsidRPr="00B5277D">
              <w:rPr>
                <w:rFonts w:eastAsia="Calibri"/>
                <w:bCs/>
                <w:lang w:val="en-PH"/>
              </w:rPr>
              <w:t>Republic Act 10364 (Expanded Anti-Trafficking against Persons Act of 2012)</w:t>
            </w:r>
          </w:p>
        </w:tc>
        <w:tc>
          <w:tcPr>
            <w:tcW w:w="911" w:type="dxa"/>
            <w:vAlign w:val="center"/>
          </w:tcPr>
          <w:p w14:paraId="28C83BD2" w14:textId="77777777" w:rsidR="006070FD" w:rsidRPr="00B5277D" w:rsidRDefault="006070FD" w:rsidP="006070FD">
            <w:pPr>
              <w:tabs>
                <w:tab w:val="left" w:pos="3084"/>
              </w:tabs>
              <w:jc w:val="center"/>
              <w:rPr>
                <w:rFonts w:eastAsia="Calibri"/>
                <w:lang w:val="en-PH"/>
              </w:rPr>
            </w:pPr>
            <w:r w:rsidRPr="00B5277D">
              <w:rPr>
                <w:rFonts w:eastAsia="Calibri"/>
                <w:lang w:val="en-PH"/>
              </w:rPr>
              <w:t>1.91</w:t>
            </w:r>
          </w:p>
        </w:tc>
        <w:tc>
          <w:tcPr>
            <w:tcW w:w="2692" w:type="dxa"/>
            <w:vAlign w:val="center"/>
          </w:tcPr>
          <w:p w14:paraId="24ABA389"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61D6C082" w14:textId="77777777" w:rsidTr="00B5277D">
        <w:tc>
          <w:tcPr>
            <w:tcW w:w="5752" w:type="dxa"/>
            <w:vAlign w:val="center"/>
          </w:tcPr>
          <w:p w14:paraId="043E29FA" w14:textId="77777777" w:rsidR="006070FD" w:rsidRPr="00B5277D" w:rsidRDefault="006070FD" w:rsidP="006070FD">
            <w:pPr>
              <w:tabs>
                <w:tab w:val="left" w:pos="3084"/>
              </w:tabs>
              <w:rPr>
                <w:rFonts w:eastAsia="Calibri"/>
                <w:bCs/>
                <w:lang w:val="en-PH"/>
              </w:rPr>
            </w:pPr>
            <w:r w:rsidRPr="00B5277D">
              <w:rPr>
                <w:rFonts w:eastAsia="Calibri"/>
                <w:bCs/>
                <w:lang w:val="en-PH"/>
              </w:rPr>
              <w:t>Republic Act 10398 (AntiVAW Consciousness Day of 2012)</w:t>
            </w:r>
          </w:p>
        </w:tc>
        <w:tc>
          <w:tcPr>
            <w:tcW w:w="911" w:type="dxa"/>
            <w:vAlign w:val="center"/>
          </w:tcPr>
          <w:p w14:paraId="5FDD0926" w14:textId="77777777" w:rsidR="006070FD" w:rsidRPr="00B5277D" w:rsidRDefault="006070FD" w:rsidP="006070FD">
            <w:pPr>
              <w:tabs>
                <w:tab w:val="left" w:pos="3084"/>
              </w:tabs>
              <w:jc w:val="center"/>
              <w:rPr>
                <w:rFonts w:eastAsia="Calibri"/>
                <w:lang w:val="en-PH"/>
              </w:rPr>
            </w:pPr>
            <w:r w:rsidRPr="00B5277D">
              <w:rPr>
                <w:rFonts w:eastAsia="Calibri"/>
                <w:lang w:val="en-PH"/>
              </w:rPr>
              <w:t>2.14</w:t>
            </w:r>
          </w:p>
        </w:tc>
        <w:tc>
          <w:tcPr>
            <w:tcW w:w="2692" w:type="dxa"/>
            <w:vAlign w:val="center"/>
          </w:tcPr>
          <w:p w14:paraId="3DB4F2E3"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3AADBA01" w14:textId="77777777" w:rsidTr="00B5277D">
        <w:tc>
          <w:tcPr>
            <w:tcW w:w="5752" w:type="dxa"/>
            <w:vAlign w:val="center"/>
          </w:tcPr>
          <w:p w14:paraId="06A43776" w14:textId="77777777" w:rsidR="006070FD" w:rsidRPr="00B5277D" w:rsidRDefault="006070FD" w:rsidP="006070FD">
            <w:pPr>
              <w:tabs>
                <w:tab w:val="left" w:pos="3084"/>
              </w:tabs>
              <w:rPr>
                <w:rFonts w:eastAsia="Calibri"/>
                <w:bCs/>
                <w:lang w:val="en-PH"/>
              </w:rPr>
            </w:pPr>
            <w:r w:rsidRPr="00B5277D">
              <w:rPr>
                <w:rFonts w:eastAsia="Calibri"/>
                <w:bCs/>
                <w:lang w:val="en-PH"/>
              </w:rPr>
              <w:t>Republic Act 11313 (Safe Spaces Act or "Bawal Bastos Law" 1997)</w:t>
            </w:r>
          </w:p>
        </w:tc>
        <w:tc>
          <w:tcPr>
            <w:tcW w:w="911" w:type="dxa"/>
            <w:vAlign w:val="center"/>
          </w:tcPr>
          <w:p w14:paraId="64F0637C" w14:textId="77777777" w:rsidR="006070FD" w:rsidRPr="00B5277D" w:rsidRDefault="006070FD" w:rsidP="006070FD">
            <w:pPr>
              <w:tabs>
                <w:tab w:val="left" w:pos="3084"/>
              </w:tabs>
              <w:jc w:val="center"/>
              <w:rPr>
                <w:rFonts w:eastAsia="Calibri"/>
                <w:lang w:val="en-PH"/>
              </w:rPr>
            </w:pPr>
            <w:r w:rsidRPr="00B5277D">
              <w:rPr>
                <w:rFonts w:eastAsia="Calibri"/>
                <w:lang w:val="en-PH"/>
              </w:rPr>
              <w:t>2.39</w:t>
            </w:r>
          </w:p>
        </w:tc>
        <w:tc>
          <w:tcPr>
            <w:tcW w:w="2692" w:type="dxa"/>
            <w:vAlign w:val="center"/>
          </w:tcPr>
          <w:p w14:paraId="75258008"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61CD82C8" w14:textId="77777777" w:rsidTr="00B5277D">
        <w:tc>
          <w:tcPr>
            <w:tcW w:w="5752" w:type="dxa"/>
            <w:vAlign w:val="center"/>
          </w:tcPr>
          <w:p w14:paraId="35C57F06" w14:textId="77777777" w:rsidR="006070FD" w:rsidRPr="00B5277D" w:rsidRDefault="006070FD" w:rsidP="006070FD">
            <w:pPr>
              <w:tabs>
                <w:tab w:val="left" w:pos="3084"/>
              </w:tabs>
              <w:rPr>
                <w:rFonts w:eastAsia="Calibri"/>
                <w:bCs/>
                <w:lang w:val="en-PH"/>
              </w:rPr>
            </w:pPr>
            <w:r w:rsidRPr="00B5277D">
              <w:rPr>
                <w:rFonts w:eastAsia="Calibri"/>
                <w:bCs/>
                <w:lang w:val="en-PH"/>
              </w:rPr>
              <w:t>PCW Memorandum Circular 2009-01 (Gender and Development Code)</w:t>
            </w:r>
          </w:p>
        </w:tc>
        <w:tc>
          <w:tcPr>
            <w:tcW w:w="911" w:type="dxa"/>
            <w:vAlign w:val="center"/>
          </w:tcPr>
          <w:p w14:paraId="74A6C7AB" w14:textId="77777777" w:rsidR="006070FD" w:rsidRPr="00B5277D" w:rsidRDefault="006070FD" w:rsidP="006070FD">
            <w:pPr>
              <w:tabs>
                <w:tab w:val="left" w:pos="3084"/>
              </w:tabs>
              <w:jc w:val="center"/>
              <w:rPr>
                <w:rFonts w:eastAsia="Calibri"/>
                <w:lang w:val="en-PH"/>
              </w:rPr>
            </w:pPr>
            <w:r w:rsidRPr="00B5277D">
              <w:rPr>
                <w:rFonts w:eastAsia="Calibri"/>
                <w:lang w:val="en-PH"/>
              </w:rPr>
              <w:t>1.34</w:t>
            </w:r>
          </w:p>
        </w:tc>
        <w:tc>
          <w:tcPr>
            <w:tcW w:w="2692" w:type="dxa"/>
            <w:vAlign w:val="center"/>
          </w:tcPr>
          <w:p w14:paraId="3D46D7B1" w14:textId="77777777" w:rsidR="006070FD" w:rsidRPr="00B5277D" w:rsidRDefault="006070FD" w:rsidP="006070FD">
            <w:pPr>
              <w:tabs>
                <w:tab w:val="left" w:pos="3084"/>
              </w:tabs>
              <w:jc w:val="center"/>
              <w:rPr>
                <w:rFonts w:eastAsia="Calibri"/>
                <w:lang w:val="en-PH"/>
              </w:rPr>
            </w:pPr>
            <w:r w:rsidRPr="00B5277D">
              <w:rPr>
                <w:rFonts w:eastAsia="Calibri"/>
                <w:lang w:val="en-PH"/>
              </w:rPr>
              <w:t>No idea</w:t>
            </w:r>
          </w:p>
        </w:tc>
      </w:tr>
      <w:tr w:rsidR="006070FD" w:rsidRPr="00B5277D" w14:paraId="203722BA" w14:textId="77777777" w:rsidTr="00B5277D">
        <w:tc>
          <w:tcPr>
            <w:tcW w:w="5752" w:type="dxa"/>
            <w:vAlign w:val="center"/>
          </w:tcPr>
          <w:p w14:paraId="241F1890" w14:textId="77777777" w:rsidR="006070FD" w:rsidRPr="00B5277D" w:rsidRDefault="006070FD" w:rsidP="006070FD">
            <w:pPr>
              <w:tabs>
                <w:tab w:val="left" w:pos="3084"/>
              </w:tabs>
              <w:rPr>
                <w:rFonts w:eastAsia="Calibri"/>
                <w:bCs/>
                <w:lang w:val="en-PH"/>
              </w:rPr>
            </w:pPr>
            <w:r w:rsidRPr="00B5277D">
              <w:rPr>
                <w:rFonts w:eastAsia="Calibri"/>
                <w:bCs/>
                <w:lang w:val="en-PH"/>
              </w:rPr>
              <w:lastRenderedPageBreak/>
              <w:t>Creation, Strengthening and Institutionalization of the Gender and Development (GAD) Focal Point System)</w:t>
            </w:r>
          </w:p>
        </w:tc>
        <w:tc>
          <w:tcPr>
            <w:tcW w:w="911" w:type="dxa"/>
            <w:vAlign w:val="center"/>
          </w:tcPr>
          <w:p w14:paraId="57FE00FC" w14:textId="77777777" w:rsidR="006070FD" w:rsidRPr="00B5277D" w:rsidRDefault="006070FD" w:rsidP="006070FD">
            <w:pPr>
              <w:tabs>
                <w:tab w:val="left" w:pos="3084"/>
              </w:tabs>
              <w:jc w:val="center"/>
              <w:rPr>
                <w:rFonts w:eastAsia="Calibri"/>
                <w:lang w:val="en-PH"/>
              </w:rPr>
            </w:pPr>
            <w:r w:rsidRPr="00B5277D">
              <w:rPr>
                <w:rFonts w:eastAsia="Calibri"/>
                <w:lang w:val="en-PH"/>
              </w:rPr>
              <w:t>1.41</w:t>
            </w:r>
          </w:p>
        </w:tc>
        <w:tc>
          <w:tcPr>
            <w:tcW w:w="2692" w:type="dxa"/>
            <w:vAlign w:val="center"/>
          </w:tcPr>
          <w:p w14:paraId="4678B7FC" w14:textId="77777777" w:rsidR="006070FD" w:rsidRPr="00B5277D" w:rsidRDefault="006070FD" w:rsidP="006070FD">
            <w:pPr>
              <w:tabs>
                <w:tab w:val="left" w:pos="3084"/>
              </w:tabs>
              <w:jc w:val="center"/>
              <w:rPr>
                <w:rFonts w:eastAsia="Calibri"/>
                <w:lang w:val="en-PH"/>
              </w:rPr>
            </w:pPr>
            <w:r w:rsidRPr="00B5277D">
              <w:rPr>
                <w:rFonts w:eastAsia="Calibri"/>
                <w:lang w:val="en-PH"/>
              </w:rPr>
              <w:t>No idea</w:t>
            </w:r>
          </w:p>
        </w:tc>
      </w:tr>
      <w:tr w:rsidR="006070FD" w:rsidRPr="00B5277D" w14:paraId="30B60551" w14:textId="77777777" w:rsidTr="00B5277D">
        <w:tc>
          <w:tcPr>
            <w:tcW w:w="5752" w:type="dxa"/>
            <w:vAlign w:val="center"/>
          </w:tcPr>
          <w:p w14:paraId="7E3C0DC9" w14:textId="77777777" w:rsidR="006070FD" w:rsidRPr="00B5277D" w:rsidRDefault="006070FD" w:rsidP="006070FD">
            <w:pPr>
              <w:tabs>
                <w:tab w:val="left" w:pos="3084"/>
              </w:tabs>
              <w:rPr>
                <w:rFonts w:eastAsia="Calibri"/>
                <w:bCs/>
                <w:lang w:val="en-PH"/>
              </w:rPr>
            </w:pPr>
            <w:r w:rsidRPr="00B5277D">
              <w:rPr>
                <w:rFonts w:eastAsia="Calibri"/>
                <w:bCs/>
                <w:lang w:val="en-PH"/>
              </w:rPr>
              <w:t>Joint Circular 2012-01: (Guidelines for the Preparation of Annual Gender and Development (GAD) Plans and Budgets and Accomplishment Reports to Implement the Magna Carta of Women)</w:t>
            </w:r>
          </w:p>
        </w:tc>
        <w:tc>
          <w:tcPr>
            <w:tcW w:w="911" w:type="dxa"/>
            <w:vAlign w:val="center"/>
          </w:tcPr>
          <w:p w14:paraId="60E9DE84" w14:textId="77777777" w:rsidR="006070FD" w:rsidRPr="00B5277D" w:rsidRDefault="006070FD" w:rsidP="006070FD">
            <w:pPr>
              <w:tabs>
                <w:tab w:val="left" w:pos="3084"/>
              </w:tabs>
              <w:jc w:val="center"/>
              <w:rPr>
                <w:rFonts w:eastAsia="Calibri"/>
                <w:lang w:val="en-PH"/>
              </w:rPr>
            </w:pPr>
            <w:r w:rsidRPr="00B5277D">
              <w:rPr>
                <w:rFonts w:eastAsia="Calibri"/>
                <w:lang w:val="en-PH"/>
              </w:rPr>
              <w:t>1.52</w:t>
            </w:r>
          </w:p>
        </w:tc>
        <w:tc>
          <w:tcPr>
            <w:tcW w:w="2692" w:type="dxa"/>
            <w:vAlign w:val="center"/>
          </w:tcPr>
          <w:p w14:paraId="070A4998"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0F29C5B3" w14:textId="77777777" w:rsidTr="00B5277D">
        <w:tc>
          <w:tcPr>
            <w:tcW w:w="5752" w:type="dxa"/>
            <w:vAlign w:val="center"/>
          </w:tcPr>
          <w:p w14:paraId="51F6B7A3" w14:textId="50A5003D" w:rsidR="006070FD" w:rsidRPr="00B5277D" w:rsidRDefault="006070FD" w:rsidP="006070FD">
            <w:pPr>
              <w:tabs>
                <w:tab w:val="left" w:pos="3084"/>
              </w:tabs>
              <w:rPr>
                <w:rFonts w:eastAsia="Calibri"/>
                <w:bCs/>
                <w:lang w:val="en-PH"/>
              </w:rPr>
            </w:pPr>
            <w:bookmarkStart w:id="7" w:name="_Hlk174537113"/>
            <w:r w:rsidRPr="00B5277D">
              <w:rPr>
                <w:rFonts w:eastAsia="Calibri"/>
                <w:bCs/>
                <w:lang w:val="en-PH"/>
              </w:rPr>
              <w:t>Joint Memorandum Circular 2013-01: (Guidelines on the Localization of the Magna Carta of Women)</w:t>
            </w:r>
            <w:bookmarkEnd w:id="7"/>
          </w:p>
        </w:tc>
        <w:tc>
          <w:tcPr>
            <w:tcW w:w="911" w:type="dxa"/>
            <w:vAlign w:val="center"/>
          </w:tcPr>
          <w:p w14:paraId="00EFBF70" w14:textId="77777777" w:rsidR="006070FD" w:rsidRPr="00B5277D" w:rsidRDefault="006070FD" w:rsidP="006070FD">
            <w:pPr>
              <w:tabs>
                <w:tab w:val="left" w:pos="3084"/>
              </w:tabs>
              <w:jc w:val="center"/>
              <w:rPr>
                <w:rFonts w:eastAsia="Calibri"/>
                <w:lang w:val="en-PH"/>
              </w:rPr>
            </w:pPr>
            <w:r w:rsidRPr="00B5277D">
              <w:rPr>
                <w:rFonts w:eastAsia="Calibri"/>
                <w:lang w:val="en-PH"/>
              </w:rPr>
              <w:t>1.43</w:t>
            </w:r>
          </w:p>
        </w:tc>
        <w:tc>
          <w:tcPr>
            <w:tcW w:w="2692" w:type="dxa"/>
            <w:vAlign w:val="center"/>
          </w:tcPr>
          <w:p w14:paraId="088FC94A" w14:textId="77777777" w:rsidR="006070FD" w:rsidRPr="00B5277D" w:rsidRDefault="006070FD" w:rsidP="006070FD">
            <w:pPr>
              <w:tabs>
                <w:tab w:val="left" w:pos="3084"/>
              </w:tabs>
              <w:jc w:val="center"/>
              <w:rPr>
                <w:rFonts w:eastAsia="Calibri"/>
                <w:lang w:val="en-PH"/>
              </w:rPr>
            </w:pPr>
            <w:r w:rsidRPr="00B5277D">
              <w:rPr>
                <w:rFonts w:eastAsia="Calibri"/>
                <w:lang w:val="en-PH"/>
              </w:rPr>
              <w:t>No idea</w:t>
            </w:r>
          </w:p>
        </w:tc>
      </w:tr>
      <w:tr w:rsidR="006070FD" w:rsidRPr="00B5277D" w14:paraId="7098BD65" w14:textId="77777777" w:rsidTr="00B5277D">
        <w:tc>
          <w:tcPr>
            <w:tcW w:w="5752" w:type="dxa"/>
            <w:vAlign w:val="center"/>
          </w:tcPr>
          <w:p w14:paraId="50920A47" w14:textId="77777777" w:rsidR="006070FD" w:rsidRPr="00B5277D" w:rsidRDefault="006070FD" w:rsidP="006070FD">
            <w:pPr>
              <w:tabs>
                <w:tab w:val="left" w:pos="3084"/>
              </w:tabs>
              <w:rPr>
                <w:rFonts w:eastAsia="Calibri"/>
                <w:bCs/>
                <w:lang w:val="en-PH"/>
              </w:rPr>
            </w:pPr>
            <w:r w:rsidRPr="00B5277D">
              <w:rPr>
                <w:rFonts w:eastAsia="Calibri"/>
                <w:bCs/>
                <w:lang w:val="en-PH"/>
              </w:rPr>
              <w:t>Joint Memorandum Circular 2016-01: Amendments to JMC NO. 2013-01: (Guidelines on the Localization of the Magna Carta of Women)</w:t>
            </w:r>
          </w:p>
        </w:tc>
        <w:tc>
          <w:tcPr>
            <w:tcW w:w="911" w:type="dxa"/>
            <w:vAlign w:val="center"/>
          </w:tcPr>
          <w:p w14:paraId="0DA1285D" w14:textId="77777777" w:rsidR="006070FD" w:rsidRPr="00B5277D" w:rsidRDefault="006070FD" w:rsidP="006070FD">
            <w:pPr>
              <w:tabs>
                <w:tab w:val="left" w:pos="3084"/>
              </w:tabs>
              <w:jc w:val="center"/>
              <w:rPr>
                <w:rFonts w:eastAsia="Calibri"/>
                <w:lang w:val="en-PH"/>
              </w:rPr>
            </w:pPr>
            <w:r w:rsidRPr="00B5277D">
              <w:rPr>
                <w:rFonts w:eastAsia="Calibri"/>
                <w:lang w:val="en-PH"/>
              </w:rPr>
              <w:t>1.41</w:t>
            </w:r>
          </w:p>
        </w:tc>
        <w:tc>
          <w:tcPr>
            <w:tcW w:w="2692" w:type="dxa"/>
            <w:vAlign w:val="center"/>
          </w:tcPr>
          <w:p w14:paraId="7A963C6B" w14:textId="77777777" w:rsidR="006070FD" w:rsidRPr="00B5277D" w:rsidRDefault="006070FD" w:rsidP="006070FD">
            <w:pPr>
              <w:tabs>
                <w:tab w:val="left" w:pos="3084"/>
              </w:tabs>
              <w:jc w:val="center"/>
              <w:rPr>
                <w:rFonts w:eastAsia="Calibri"/>
                <w:lang w:val="en-PH"/>
              </w:rPr>
            </w:pPr>
            <w:r w:rsidRPr="00B5277D">
              <w:rPr>
                <w:rFonts w:eastAsia="Calibri"/>
                <w:lang w:val="en-PH"/>
              </w:rPr>
              <w:t>No idea</w:t>
            </w:r>
          </w:p>
        </w:tc>
      </w:tr>
      <w:tr w:rsidR="006070FD" w:rsidRPr="00B5277D" w14:paraId="41BDC9B3" w14:textId="77777777" w:rsidTr="00B5277D">
        <w:tc>
          <w:tcPr>
            <w:tcW w:w="5752" w:type="dxa"/>
            <w:vAlign w:val="center"/>
          </w:tcPr>
          <w:p w14:paraId="2EA6B484" w14:textId="77777777" w:rsidR="006070FD" w:rsidRPr="00B5277D" w:rsidRDefault="006070FD" w:rsidP="006070FD">
            <w:pPr>
              <w:tabs>
                <w:tab w:val="left" w:pos="3084"/>
              </w:tabs>
              <w:rPr>
                <w:rFonts w:eastAsia="Calibri"/>
                <w:bCs/>
                <w:lang w:val="en-PH"/>
              </w:rPr>
            </w:pPr>
            <w:r w:rsidRPr="00B5277D">
              <w:rPr>
                <w:rFonts w:eastAsia="Calibri"/>
                <w:bCs/>
                <w:lang w:val="en-PH"/>
              </w:rPr>
              <w:t>Joint Memorandum Circular 2016-01: (Guidelines for the Creation, Strengthening and Institutionalization of a Regional Gender and Development Committee under the Regional Development Council)</w:t>
            </w:r>
          </w:p>
        </w:tc>
        <w:tc>
          <w:tcPr>
            <w:tcW w:w="911" w:type="dxa"/>
            <w:vAlign w:val="center"/>
          </w:tcPr>
          <w:p w14:paraId="4C680A4A" w14:textId="77777777" w:rsidR="006070FD" w:rsidRPr="00B5277D" w:rsidRDefault="006070FD" w:rsidP="006070FD">
            <w:pPr>
              <w:tabs>
                <w:tab w:val="left" w:pos="3084"/>
              </w:tabs>
              <w:jc w:val="center"/>
              <w:rPr>
                <w:rFonts w:eastAsia="Calibri"/>
                <w:lang w:val="en-PH"/>
              </w:rPr>
            </w:pPr>
            <w:r w:rsidRPr="00B5277D">
              <w:rPr>
                <w:rFonts w:eastAsia="Calibri"/>
                <w:lang w:val="en-PH"/>
              </w:rPr>
              <w:t>1.52</w:t>
            </w:r>
          </w:p>
        </w:tc>
        <w:tc>
          <w:tcPr>
            <w:tcW w:w="2692" w:type="dxa"/>
            <w:vAlign w:val="center"/>
          </w:tcPr>
          <w:p w14:paraId="4E5F86A8"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46049256" w14:textId="77777777" w:rsidTr="00B5277D">
        <w:tc>
          <w:tcPr>
            <w:tcW w:w="5752" w:type="dxa"/>
            <w:vAlign w:val="center"/>
          </w:tcPr>
          <w:p w14:paraId="28EFBCBC" w14:textId="1A9339AD" w:rsidR="006070FD" w:rsidRPr="00B5277D" w:rsidRDefault="006070FD" w:rsidP="006070FD">
            <w:pPr>
              <w:tabs>
                <w:tab w:val="left" w:pos="3084"/>
              </w:tabs>
              <w:rPr>
                <w:rFonts w:eastAsia="Calibri"/>
                <w:bCs/>
                <w:lang w:val="en-PH"/>
              </w:rPr>
            </w:pPr>
            <w:bookmarkStart w:id="8" w:name="_Hlk174536292"/>
            <w:r w:rsidRPr="00B5277D">
              <w:rPr>
                <w:rFonts w:eastAsia="Calibri"/>
                <w:bCs/>
                <w:lang w:val="en-PH"/>
              </w:rPr>
              <w:t>COA Circular 2014-001: (Revised Guidelines in the Audit of Gender and Development (GAD) Funds and Activities in Government Agencies)</w:t>
            </w:r>
            <w:bookmarkEnd w:id="8"/>
          </w:p>
        </w:tc>
        <w:tc>
          <w:tcPr>
            <w:tcW w:w="911" w:type="dxa"/>
            <w:vAlign w:val="center"/>
          </w:tcPr>
          <w:p w14:paraId="10283092" w14:textId="77777777" w:rsidR="006070FD" w:rsidRPr="00B5277D" w:rsidRDefault="006070FD" w:rsidP="006070FD">
            <w:pPr>
              <w:tabs>
                <w:tab w:val="left" w:pos="3084"/>
              </w:tabs>
              <w:jc w:val="center"/>
              <w:rPr>
                <w:rFonts w:eastAsia="Calibri"/>
                <w:lang w:val="en-PH"/>
              </w:rPr>
            </w:pPr>
            <w:r w:rsidRPr="00B5277D">
              <w:rPr>
                <w:rFonts w:eastAsia="Calibri"/>
                <w:lang w:val="en-PH"/>
              </w:rPr>
              <w:t>1.61</w:t>
            </w:r>
          </w:p>
        </w:tc>
        <w:tc>
          <w:tcPr>
            <w:tcW w:w="2692" w:type="dxa"/>
            <w:vAlign w:val="center"/>
          </w:tcPr>
          <w:p w14:paraId="70DC1452"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31AA88AC" w14:textId="77777777" w:rsidTr="00B5277D">
        <w:tc>
          <w:tcPr>
            <w:tcW w:w="5752" w:type="dxa"/>
            <w:vAlign w:val="center"/>
          </w:tcPr>
          <w:p w14:paraId="386ED385" w14:textId="77777777" w:rsidR="006070FD" w:rsidRPr="00B5277D" w:rsidRDefault="006070FD" w:rsidP="006070FD">
            <w:pPr>
              <w:tabs>
                <w:tab w:val="left" w:pos="3084"/>
              </w:tabs>
              <w:rPr>
                <w:rFonts w:eastAsia="Calibri"/>
                <w:bCs/>
                <w:lang w:val="en-PH"/>
              </w:rPr>
            </w:pPr>
            <w:r w:rsidRPr="00B5277D">
              <w:rPr>
                <w:rFonts w:eastAsia="Calibri"/>
                <w:bCs/>
                <w:lang w:val="en-PH"/>
              </w:rPr>
              <w:t>CHED Memorandum Order 2015-01: (Establishing the Policies and Guidelines on GAD in the Commission on Higher Education and Higher Education Institutions)</w:t>
            </w:r>
          </w:p>
        </w:tc>
        <w:tc>
          <w:tcPr>
            <w:tcW w:w="911" w:type="dxa"/>
            <w:vAlign w:val="center"/>
          </w:tcPr>
          <w:p w14:paraId="0EB56CD6" w14:textId="77777777" w:rsidR="006070FD" w:rsidRPr="00B5277D" w:rsidRDefault="006070FD" w:rsidP="006070FD">
            <w:pPr>
              <w:tabs>
                <w:tab w:val="left" w:pos="3084"/>
              </w:tabs>
              <w:jc w:val="center"/>
              <w:rPr>
                <w:rFonts w:eastAsia="Calibri"/>
                <w:lang w:val="en-PH"/>
              </w:rPr>
            </w:pPr>
            <w:r w:rsidRPr="00B5277D">
              <w:rPr>
                <w:rFonts w:eastAsia="Calibri"/>
                <w:lang w:val="en-PH"/>
              </w:rPr>
              <w:t>1.59</w:t>
            </w:r>
          </w:p>
        </w:tc>
        <w:tc>
          <w:tcPr>
            <w:tcW w:w="2692" w:type="dxa"/>
            <w:vAlign w:val="center"/>
          </w:tcPr>
          <w:p w14:paraId="611D0736" w14:textId="77777777" w:rsidR="006070FD" w:rsidRPr="00B5277D" w:rsidRDefault="006070FD" w:rsidP="006070FD">
            <w:pPr>
              <w:tabs>
                <w:tab w:val="left" w:pos="3084"/>
              </w:tabs>
              <w:jc w:val="center"/>
              <w:rPr>
                <w:rFonts w:eastAsia="Calibri"/>
                <w:lang w:val="en-PH"/>
              </w:rPr>
            </w:pPr>
            <w:r w:rsidRPr="00B5277D">
              <w:rPr>
                <w:rFonts w:eastAsia="Calibri"/>
                <w:lang w:val="en-PH"/>
              </w:rPr>
              <w:t>Know little about it</w:t>
            </w:r>
          </w:p>
        </w:tc>
      </w:tr>
      <w:tr w:rsidR="006070FD" w:rsidRPr="00B5277D" w14:paraId="3E201E5D" w14:textId="77777777" w:rsidTr="00B5277D">
        <w:tc>
          <w:tcPr>
            <w:tcW w:w="5752" w:type="dxa"/>
            <w:vAlign w:val="center"/>
          </w:tcPr>
          <w:p w14:paraId="7649F118" w14:textId="77777777" w:rsidR="006070FD" w:rsidRPr="00B5277D" w:rsidRDefault="006070FD" w:rsidP="006070FD">
            <w:pPr>
              <w:tabs>
                <w:tab w:val="left" w:pos="3084"/>
              </w:tabs>
              <w:jc w:val="center"/>
              <w:rPr>
                <w:rFonts w:eastAsia="Calibri"/>
                <w:bCs/>
                <w:lang w:val="en-PH"/>
              </w:rPr>
            </w:pPr>
            <w:r w:rsidRPr="00B5277D">
              <w:rPr>
                <w:rFonts w:eastAsia="Calibri"/>
                <w:lang w:val="en-PH"/>
              </w:rPr>
              <w:t>Over-all Weighted Mean</w:t>
            </w:r>
          </w:p>
        </w:tc>
        <w:tc>
          <w:tcPr>
            <w:tcW w:w="911" w:type="dxa"/>
            <w:vAlign w:val="center"/>
          </w:tcPr>
          <w:p w14:paraId="0DB311EB" w14:textId="77777777" w:rsidR="006070FD" w:rsidRPr="00B5277D" w:rsidRDefault="006070FD" w:rsidP="006070FD">
            <w:pPr>
              <w:tabs>
                <w:tab w:val="left" w:pos="3084"/>
              </w:tabs>
              <w:jc w:val="center"/>
              <w:rPr>
                <w:rFonts w:eastAsia="Calibri"/>
                <w:bCs/>
                <w:lang w:val="en-PH"/>
              </w:rPr>
            </w:pPr>
            <w:r w:rsidRPr="00B5277D">
              <w:rPr>
                <w:rFonts w:eastAsia="Calibri"/>
                <w:bCs/>
                <w:lang w:val="en-PH"/>
              </w:rPr>
              <w:t>1.77</w:t>
            </w:r>
          </w:p>
        </w:tc>
        <w:tc>
          <w:tcPr>
            <w:tcW w:w="2692" w:type="dxa"/>
            <w:vAlign w:val="center"/>
          </w:tcPr>
          <w:p w14:paraId="29C322F0" w14:textId="77777777" w:rsidR="006070FD" w:rsidRPr="00B5277D" w:rsidRDefault="006070FD" w:rsidP="006070FD">
            <w:pPr>
              <w:tabs>
                <w:tab w:val="left" w:pos="3084"/>
              </w:tabs>
              <w:jc w:val="center"/>
              <w:rPr>
                <w:rFonts w:eastAsia="Calibri"/>
                <w:bCs/>
                <w:lang w:val="en-PH"/>
              </w:rPr>
            </w:pPr>
            <w:r w:rsidRPr="00B5277D">
              <w:rPr>
                <w:rFonts w:eastAsia="Calibri"/>
                <w:bCs/>
                <w:lang w:val="en-PH"/>
              </w:rPr>
              <w:t>Know little about it</w:t>
            </w:r>
          </w:p>
        </w:tc>
      </w:tr>
    </w:tbl>
    <w:p w14:paraId="7139B311" w14:textId="77777777" w:rsidR="006070FD" w:rsidRPr="006070FD" w:rsidRDefault="006070FD" w:rsidP="006070FD">
      <w:pPr>
        <w:widowControl w:val="0"/>
        <w:spacing w:before="43" w:after="0" w:line="240" w:lineRule="auto"/>
        <w:jc w:val="both"/>
        <w:rPr>
          <w:rFonts w:ascii="Times New Roman" w:eastAsia="SimSun" w:hAnsi="Times New Roman" w:cs="Times New Roman"/>
          <w:kern w:val="0"/>
          <w:sz w:val="22"/>
          <w:szCs w:val="22"/>
          <w:lang w:val="en-PH"/>
          <w14:ligatures w14:val="none"/>
        </w:rPr>
      </w:pPr>
      <w:r w:rsidRPr="006070FD">
        <w:rPr>
          <w:rFonts w:ascii="Times New Roman" w:eastAsia="Calibri" w:hAnsi="Times New Roman" w:cs="Times New Roman"/>
          <w:bCs/>
          <w:sz w:val="22"/>
          <w:szCs w:val="22"/>
          <w:lang w:val="en-PH"/>
          <w14:ligatures w14:val="none"/>
        </w:rPr>
        <w:t xml:space="preserve">   </w:t>
      </w:r>
      <w:bookmarkStart w:id="9" w:name="_Hlk174624175"/>
    </w:p>
    <w:p w14:paraId="4D9798D9"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Table 2.2 illustrates the familiarity level of GFPS members at Apayao State College regarding various Gender and Development (GAD) mandates and policies. The results reveal an overall weighted mean of 1.77, indicating that most members are only minimally familiar with the key national and international GAD mandates and policies. This suggests that significant gaps exist in their awareness of these vital legal frameworks designed to eliminate gender inequality and promote gender mainstreaming. Several critical mandates such as the </w:t>
      </w:r>
      <w:r w:rsidRPr="006070FD">
        <w:rPr>
          <w:rFonts w:ascii="Times New Roman" w:eastAsia="SimSun" w:hAnsi="Times New Roman" w:cs="Times New Roman"/>
          <w:i/>
          <w:iCs/>
          <w:kern w:val="0"/>
          <w:sz w:val="22"/>
          <w:szCs w:val="22"/>
          <w:lang w:val="en-PH"/>
          <w14:ligatures w14:val="none"/>
        </w:rPr>
        <w:t>Convention on the Elimination of All Forms of Discrimination Against Women (UN CEDAW)</w:t>
      </w:r>
      <w:r w:rsidRPr="006070FD">
        <w:rPr>
          <w:rFonts w:ascii="Times New Roman" w:eastAsia="SimSun" w:hAnsi="Times New Roman" w:cs="Times New Roman"/>
          <w:kern w:val="0"/>
          <w:sz w:val="22"/>
          <w:szCs w:val="22"/>
          <w:lang w:val="en-PH"/>
          <w14:ligatures w14:val="none"/>
        </w:rPr>
        <w:t xml:space="preserve"> (2.00), </w:t>
      </w:r>
      <w:r w:rsidRPr="006070FD">
        <w:rPr>
          <w:rFonts w:ascii="Times New Roman" w:eastAsia="SimSun" w:hAnsi="Times New Roman" w:cs="Times New Roman"/>
          <w:i/>
          <w:iCs/>
          <w:kern w:val="0"/>
          <w:sz w:val="22"/>
          <w:szCs w:val="22"/>
          <w:lang w:val="en-PH"/>
          <w14:ligatures w14:val="none"/>
        </w:rPr>
        <w:t>Sustainable Development Goals (SDGs)</w:t>
      </w:r>
      <w:r w:rsidRPr="006070FD">
        <w:rPr>
          <w:rFonts w:ascii="Times New Roman" w:eastAsia="SimSun" w:hAnsi="Times New Roman" w:cs="Times New Roman"/>
          <w:kern w:val="0"/>
          <w:sz w:val="22"/>
          <w:szCs w:val="22"/>
          <w:lang w:val="en-PH"/>
          <w14:ligatures w14:val="none"/>
        </w:rPr>
        <w:t xml:space="preserve"> (1.80), and </w:t>
      </w:r>
      <w:r w:rsidRPr="006070FD">
        <w:rPr>
          <w:rFonts w:ascii="Times New Roman" w:eastAsia="SimSun" w:hAnsi="Times New Roman" w:cs="Times New Roman"/>
          <w:i/>
          <w:iCs/>
          <w:kern w:val="0"/>
          <w:sz w:val="22"/>
          <w:szCs w:val="22"/>
          <w:lang w:val="en-PH"/>
          <w14:ligatures w14:val="none"/>
        </w:rPr>
        <w:t>Republic Act 9710 (Magna Carta of Women)</w:t>
      </w:r>
      <w:r w:rsidRPr="006070FD">
        <w:rPr>
          <w:rFonts w:ascii="Times New Roman" w:eastAsia="SimSun" w:hAnsi="Times New Roman" w:cs="Times New Roman"/>
          <w:kern w:val="0"/>
          <w:sz w:val="22"/>
          <w:szCs w:val="22"/>
          <w:lang w:val="en-PH"/>
          <w14:ligatures w14:val="none"/>
        </w:rPr>
        <w:t xml:space="preserve"> (2.11) were recognized as areas where GFPS members have limited knowledge. Moreover, a majority of the policies and circulars, such as the </w:t>
      </w:r>
      <w:r w:rsidRPr="006070FD">
        <w:rPr>
          <w:rFonts w:ascii="Times New Roman" w:eastAsia="SimSun" w:hAnsi="Times New Roman" w:cs="Times New Roman"/>
          <w:i/>
          <w:iCs/>
          <w:kern w:val="0"/>
          <w:sz w:val="22"/>
          <w:szCs w:val="22"/>
          <w:lang w:val="en-PH"/>
          <w14:ligatures w14:val="none"/>
        </w:rPr>
        <w:t>Beijing Platform for Action</w:t>
      </w:r>
      <w:r w:rsidRPr="006070FD">
        <w:rPr>
          <w:rFonts w:ascii="Times New Roman" w:eastAsia="SimSun" w:hAnsi="Times New Roman" w:cs="Times New Roman"/>
          <w:kern w:val="0"/>
          <w:sz w:val="22"/>
          <w:szCs w:val="22"/>
          <w:lang w:val="en-PH"/>
          <w14:ligatures w14:val="none"/>
        </w:rPr>
        <w:t xml:space="preserve"> (1.11), </w:t>
      </w:r>
      <w:r w:rsidRPr="006070FD">
        <w:rPr>
          <w:rFonts w:ascii="Times New Roman" w:eastAsia="SimSun" w:hAnsi="Times New Roman" w:cs="Times New Roman"/>
          <w:i/>
          <w:iCs/>
          <w:kern w:val="0"/>
          <w:sz w:val="22"/>
          <w:szCs w:val="22"/>
          <w:lang w:val="en-PH"/>
          <w14:ligatures w14:val="none"/>
        </w:rPr>
        <w:t>Republic Act 7192 (Women in Development and Nation Building Act of 1992)</w:t>
      </w:r>
      <w:r w:rsidRPr="006070FD">
        <w:rPr>
          <w:rFonts w:ascii="Times New Roman" w:eastAsia="SimSun" w:hAnsi="Times New Roman" w:cs="Times New Roman"/>
          <w:kern w:val="0"/>
          <w:sz w:val="22"/>
          <w:szCs w:val="22"/>
          <w:lang w:val="en-PH"/>
          <w14:ligatures w14:val="none"/>
        </w:rPr>
        <w:t xml:space="preserve"> (1.39), and various joint circulars (ranging from 1.34 to 1.61), were unfamiliar to the respondents, with most members indicating that they had "no idea" about these mandates. This highlights a clear need for enhanced education on the legal instruments and frameworks that support GAD mainstreaming.</w:t>
      </w:r>
    </w:p>
    <w:p w14:paraId="4BCF9878"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The finding that GFPS members are only marginally familiar with these policies and laws is consistent with studies showing that awareness of GAD policies remains low among professionals in various sectors, including higher education. For instance, </w:t>
      </w:r>
      <w:r w:rsidRPr="006070FD">
        <w:rPr>
          <w:rFonts w:ascii="Times New Roman" w:eastAsia="SimSun" w:hAnsi="Times New Roman" w:cs="Times New Roman"/>
          <w:i/>
          <w:iCs/>
          <w:kern w:val="0"/>
          <w:sz w:val="22"/>
          <w:szCs w:val="22"/>
          <w:lang w:val="en-PH"/>
          <w14:ligatures w14:val="none"/>
        </w:rPr>
        <w:t>Moser (2019)</w:t>
      </w:r>
      <w:r w:rsidRPr="006070FD">
        <w:rPr>
          <w:rFonts w:ascii="Times New Roman" w:eastAsia="SimSun" w:hAnsi="Times New Roman" w:cs="Times New Roman"/>
          <w:kern w:val="0"/>
          <w:sz w:val="22"/>
          <w:szCs w:val="22"/>
          <w:lang w:val="en-PH"/>
          <w14:ligatures w14:val="none"/>
        </w:rPr>
        <w:t xml:space="preserve"> points out that despite the existence of robust GAD frameworks globally, many institutions, including universities, still lack the necessary mechanisms to properly disseminate information on policies like the </w:t>
      </w:r>
      <w:r w:rsidRPr="006070FD">
        <w:rPr>
          <w:rFonts w:ascii="Times New Roman" w:eastAsia="SimSun" w:hAnsi="Times New Roman" w:cs="Times New Roman"/>
          <w:i/>
          <w:iCs/>
          <w:kern w:val="0"/>
          <w:sz w:val="22"/>
          <w:szCs w:val="22"/>
          <w:lang w:val="en-PH"/>
          <w14:ligatures w14:val="none"/>
        </w:rPr>
        <w:t>Magna Carta of Women</w:t>
      </w:r>
      <w:r w:rsidRPr="006070FD">
        <w:rPr>
          <w:rFonts w:ascii="Times New Roman" w:eastAsia="SimSun" w:hAnsi="Times New Roman" w:cs="Times New Roman"/>
          <w:kern w:val="0"/>
          <w:sz w:val="22"/>
          <w:szCs w:val="22"/>
          <w:lang w:val="en-PH"/>
          <w14:ligatures w14:val="none"/>
        </w:rPr>
        <w:t xml:space="preserve"> or </w:t>
      </w:r>
      <w:r w:rsidRPr="006070FD">
        <w:rPr>
          <w:rFonts w:ascii="Times New Roman" w:eastAsia="SimSun" w:hAnsi="Times New Roman" w:cs="Times New Roman"/>
          <w:i/>
          <w:iCs/>
          <w:kern w:val="0"/>
          <w:sz w:val="22"/>
          <w:szCs w:val="22"/>
          <w:lang w:val="en-PH"/>
          <w14:ligatures w14:val="none"/>
        </w:rPr>
        <w:t>CEDAW</w:t>
      </w:r>
      <w:r w:rsidRPr="006070FD">
        <w:rPr>
          <w:rFonts w:ascii="Times New Roman" w:eastAsia="SimSun" w:hAnsi="Times New Roman" w:cs="Times New Roman"/>
          <w:kern w:val="0"/>
          <w:sz w:val="22"/>
          <w:szCs w:val="22"/>
          <w:lang w:val="en-PH"/>
          <w14:ligatures w14:val="none"/>
        </w:rPr>
        <w:t xml:space="preserve">. Similarly, </w:t>
      </w:r>
      <w:r w:rsidRPr="006070FD">
        <w:rPr>
          <w:rFonts w:ascii="Times New Roman" w:eastAsia="SimSun" w:hAnsi="Times New Roman" w:cs="Times New Roman"/>
          <w:i/>
          <w:iCs/>
          <w:kern w:val="0"/>
          <w:sz w:val="22"/>
          <w:szCs w:val="22"/>
          <w:lang w:val="en-PH"/>
          <w14:ligatures w14:val="none"/>
        </w:rPr>
        <w:t>Kabeer (2019)</w:t>
      </w:r>
      <w:r w:rsidRPr="006070FD">
        <w:rPr>
          <w:rFonts w:ascii="Times New Roman" w:eastAsia="SimSun" w:hAnsi="Times New Roman" w:cs="Times New Roman"/>
          <w:kern w:val="0"/>
          <w:sz w:val="22"/>
          <w:szCs w:val="22"/>
          <w:lang w:val="en-PH"/>
          <w14:ligatures w14:val="none"/>
        </w:rPr>
        <w:t xml:space="preserve"> discusses how policies that mandate gender equality, while essential, are often underutilized due to gaps in the understanding and implementation of these frameworks by institutional members.</w:t>
      </w:r>
    </w:p>
    <w:p w14:paraId="7619130D"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In particular, the lack of awareness regarding critical documents like the </w:t>
      </w:r>
      <w:r w:rsidRPr="006070FD">
        <w:rPr>
          <w:rFonts w:ascii="Times New Roman" w:eastAsia="SimSun" w:hAnsi="Times New Roman" w:cs="Times New Roman"/>
          <w:i/>
          <w:iCs/>
          <w:kern w:val="0"/>
          <w:sz w:val="22"/>
          <w:szCs w:val="22"/>
          <w:lang w:val="en-PH"/>
          <w14:ligatures w14:val="none"/>
        </w:rPr>
        <w:t>Beijing Platform for Action</w:t>
      </w:r>
      <w:r w:rsidRPr="006070FD">
        <w:rPr>
          <w:rFonts w:ascii="Times New Roman" w:eastAsia="SimSun" w:hAnsi="Times New Roman" w:cs="Times New Roman"/>
          <w:kern w:val="0"/>
          <w:sz w:val="22"/>
          <w:szCs w:val="22"/>
          <w:lang w:val="en-PH"/>
          <w14:ligatures w14:val="none"/>
        </w:rPr>
        <w:t xml:space="preserve"> and the </w:t>
      </w:r>
      <w:r w:rsidRPr="006070FD">
        <w:rPr>
          <w:rFonts w:ascii="Times New Roman" w:eastAsia="SimSun" w:hAnsi="Times New Roman" w:cs="Times New Roman"/>
          <w:i/>
          <w:iCs/>
          <w:kern w:val="0"/>
          <w:sz w:val="22"/>
          <w:szCs w:val="22"/>
          <w:lang w:val="en-PH"/>
          <w14:ligatures w14:val="none"/>
        </w:rPr>
        <w:t>Joint Memorandum Circulars</w:t>
      </w:r>
      <w:r w:rsidRPr="006070FD">
        <w:rPr>
          <w:rFonts w:ascii="Times New Roman" w:eastAsia="SimSun" w:hAnsi="Times New Roman" w:cs="Times New Roman"/>
          <w:kern w:val="0"/>
          <w:sz w:val="22"/>
          <w:szCs w:val="22"/>
          <w:lang w:val="en-PH"/>
          <w14:ligatures w14:val="none"/>
        </w:rPr>
        <w:t xml:space="preserve"> underscores the need for institutional efforts to improve training and policy awareness. </w:t>
      </w:r>
      <w:r w:rsidRPr="006070FD">
        <w:rPr>
          <w:rFonts w:ascii="Times New Roman" w:eastAsia="SimSun" w:hAnsi="Times New Roman" w:cs="Times New Roman"/>
          <w:i/>
          <w:iCs/>
          <w:kern w:val="0"/>
          <w:sz w:val="22"/>
          <w:szCs w:val="22"/>
          <w:lang w:val="en-PH"/>
          <w14:ligatures w14:val="none"/>
        </w:rPr>
        <w:t>Chant (2016)</w:t>
      </w:r>
      <w:r w:rsidRPr="006070FD">
        <w:rPr>
          <w:rFonts w:ascii="Times New Roman" w:eastAsia="SimSun" w:hAnsi="Times New Roman" w:cs="Times New Roman"/>
          <w:kern w:val="0"/>
          <w:sz w:val="22"/>
          <w:szCs w:val="22"/>
          <w:lang w:val="en-PH"/>
          <w14:ligatures w14:val="none"/>
        </w:rPr>
        <w:t xml:space="preserve"> emphasizes the necessity of institutionalizing continuous education on international and national GAD mandates, especially in educational settings, to ensure compliance and foster a gender-sensitive environment. The results also align with the findings by </w:t>
      </w:r>
      <w:r w:rsidRPr="006070FD">
        <w:rPr>
          <w:rFonts w:ascii="Times New Roman" w:eastAsia="SimSun" w:hAnsi="Times New Roman" w:cs="Times New Roman"/>
          <w:i/>
          <w:iCs/>
          <w:kern w:val="0"/>
          <w:sz w:val="22"/>
          <w:szCs w:val="22"/>
          <w:lang w:val="en-PH"/>
          <w14:ligatures w14:val="none"/>
        </w:rPr>
        <w:t>Dolan (2020)</w:t>
      </w:r>
      <w:r w:rsidRPr="006070FD">
        <w:rPr>
          <w:rFonts w:ascii="Times New Roman" w:eastAsia="SimSun" w:hAnsi="Times New Roman" w:cs="Times New Roman"/>
          <w:kern w:val="0"/>
          <w:sz w:val="22"/>
          <w:szCs w:val="22"/>
          <w:lang w:val="en-PH"/>
          <w14:ligatures w14:val="none"/>
        </w:rPr>
        <w:t>, who argues that a lack of knowledge of legal frameworks and mandates leads to weak policy implementation and gender equality outcomes within organizations.</w:t>
      </w:r>
    </w:p>
    <w:p w14:paraId="7B50B667" w14:textId="77777777" w:rsidR="00B5277D" w:rsidRDefault="006070FD" w:rsidP="00B5277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lastRenderedPageBreak/>
        <w:t xml:space="preserve">Overall, the data indicates a clear need for targeted capacity-building interventions within the GFPS. As highlighted by </w:t>
      </w:r>
      <w:r w:rsidRPr="006070FD">
        <w:rPr>
          <w:rFonts w:ascii="Times New Roman" w:eastAsia="SimSun" w:hAnsi="Times New Roman" w:cs="Times New Roman"/>
          <w:i/>
          <w:iCs/>
          <w:kern w:val="0"/>
          <w:sz w:val="22"/>
          <w:szCs w:val="22"/>
          <w:lang w:val="en-PH"/>
          <w14:ligatures w14:val="none"/>
        </w:rPr>
        <w:t>Ridgeway (2021)</w:t>
      </w:r>
      <w:r w:rsidRPr="006070FD">
        <w:rPr>
          <w:rFonts w:ascii="Times New Roman" w:eastAsia="SimSun" w:hAnsi="Times New Roman" w:cs="Times New Roman"/>
          <w:kern w:val="0"/>
          <w:sz w:val="22"/>
          <w:szCs w:val="22"/>
          <w:lang w:val="en-PH"/>
          <w14:ligatures w14:val="none"/>
        </w:rPr>
        <w:t>, the familiarity of institutional members with gender-related mandates is crucial for the successful integration of gender considerations into policies, programs, and activities. It is imperative that Apayao State College’s Gender and Development Office focus on enhancing the knowledge of GFPS members regarding these mandates through focused training programs, so they can better support gender mainstreaming and the implementation of relevant GAD policies.</w:t>
      </w:r>
      <w:bookmarkEnd w:id="9"/>
    </w:p>
    <w:p w14:paraId="750495D8" w14:textId="562019C2" w:rsidR="006070FD" w:rsidRPr="00B5277D" w:rsidRDefault="00B5277D" w:rsidP="00B5277D">
      <w:pPr>
        <w:widowControl w:val="0"/>
        <w:spacing w:before="43" w:after="0" w:line="240" w:lineRule="auto"/>
        <w:ind w:firstLine="567"/>
        <w:jc w:val="both"/>
        <w:rPr>
          <w:rFonts w:ascii="Times New Roman" w:eastAsia="SimSun" w:hAnsi="Times New Roman" w:cs="Times New Roman"/>
          <w:kern w:val="0"/>
          <w:sz w:val="20"/>
          <w:szCs w:val="22"/>
          <w:lang w:val="en-PH"/>
          <w14:ligatures w14:val="none"/>
        </w:rPr>
      </w:pPr>
      <w:r>
        <w:rPr>
          <w:rFonts w:ascii="Times New Roman" w:eastAsia="SimSun" w:hAnsi="Times New Roman" w:cs="Times New Roman"/>
          <w:kern w:val="0"/>
          <w:sz w:val="22"/>
          <w:szCs w:val="22"/>
          <w:lang w:val="en-PH"/>
          <w14:ligatures w14:val="none"/>
        </w:rPr>
        <w:br/>
      </w:r>
      <w:r w:rsidR="006070FD" w:rsidRPr="00B5277D">
        <w:rPr>
          <w:rFonts w:ascii="Times New Roman" w:eastAsia="Calibri" w:hAnsi="Times New Roman" w:cs="Times New Roman"/>
          <w:bCs/>
          <w:iCs/>
          <w:sz w:val="20"/>
          <w:szCs w:val="22"/>
          <w:lang w:val="en-PH"/>
          <w14:ligatures w14:val="none"/>
        </w:rPr>
        <w:t>Table 2.3.</w:t>
      </w:r>
      <w:r w:rsidR="006070FD" w:rsidRPr="00B5277D">
        <w:rPr>
          <w:rFonts w:ascii="Times New Roman" w:eastAsia="Calibri" w:hAnsi="Times New Roman" w:cs="Times New Roman"/>
          <w:bCs/>
          <w:i/>
          <w:iCs/>
          <w:sz w:val="20"/>
          <w:szCs w:val="22"/>
          <w:lang w:val="en-PH"/>
          <w14:ligatures w14:val="none"/>
        </w:rPr>
        <w:t xml:space="preserve"> Familiarity Level of GFPS members on GAD tools</w:t>
      </w:r>
    </w:p>
    <w:p w14:paraId="4BF571E2" w14:textId="77777777" w:rsidR="006070FD" w:rsidRPr="00B5277D" w:rsidRDefault="006070FD" w:rsidP="006070FD">
      <w:pPr>
        <w:spacing w:after="0" w:line="240" w:lineRule="auto"/>
        <w:ind w:left="720"/>
        <w:contextualSpacing/>
        <w:jc w:val="both"/>
        <w:rPr>
          <w:rFonts w:ascii="Times New Roman" w:eastAsia="Calibri" w:hAnsi="Times New Roman" w:cs="Times New Roman"/>
          <w:sz w:val="20"/>
          <w:szCs w:val="22"/>
          <w14:ligatures w14:val="none"/>
        </w:rPr>
      </w:pPr>
    </w:p>
    <w:tbl>
      <w:tblPr>
        <w:tblStyle w:val="TableGrid"/>
        <w:tblW w:w="0" w:type="auto"/>
        <w:tblInd w:w="-5" w:type="dxa"/>
        <w:tblLook w:val="0000" w:firstRow="0" w:lastRow="0" w:firstColumn="0" w:lastColumn="0" w:noHBand="0" w:noVBand="0"/>
      </w:tblPr>
      <w:tblGrid>
        <w:gridCol w:w="5737"/>
        <w:gridCol w:w="926"/>
        <w:gridCol w:w="2692"/>
      </w:tblGrid>
      <w:tr w:rsidR="006070FD" w:rsidRPr="00B5277D" w14:paraId="1551426E" w14:textId="77777777" w:rsidTr="00B5277D">
        <w:tc>
          <w:tcPr>
            <w:tcW w:w="5737" w:type="dxa"/>
          </w:tcPr>
          <w:p w14:paraId="221ED307"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GAD Tools</w:t>
            </w:r>
          </w:p>
        </w:tc>
        <w:tc>
          <w:tcPr>
            <w:tcW w:w="926" w:type="dxa"/>
          </w:tcPr>
          <w:p w14:paraId="13928AEA"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Mean</w:t>
            </w:r>
          </w:p>
        </w:tc>
        <w:tc>
          <w:tcPr>
            <w:tcW w:w="2692" w:type="dxa"/>
          </w:tcPr>
          <w:p w14:paraId="77E7DE8A"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Verbal Interpretation</w:t>
            </w:r>
          </w:p>
        </w:tc>
      </w:tr>
      <w:tr w:rsidR="006070FD" w:rsidRPr="00B5277D" w14:paraId="563FB1B8" w14:textId="77777777" w:rsidTr="00B5277D">
        <w:tc>
          <w:tcPr>
            <w:tcW w:w="5737" w:type="dxa"/>
            <w:vAlign w:val="center"/>
          </w:tcPr>
          <w:p w14:paraId="696E37D2" w14:textId="77777777" w:rsidR="006070FD" w:rsidRPr="00B5277D" w:rsidRDefault="006070FD" w:rsidP="006070FD">
            <w:pPr>
              <w:tabs>
                <w:tab w:val="left" w:pos="3084"/>
              </w:tabs>
              <w:rPr>
                <w:rFonts w:eastAsia="Calibri"/>
                <w:bCs/>
                <w:szCs w:val="22"/>
                <w:lang w:val="en-PH"/>
              </w:rPr>
            </w:pPr>
            <w:r w:rsidRPr="00B5277D">
              <w:rPr>
                <w:rFonts w:eastAsia="Calibri"/>
                <w:bCs/>
                <w:szCs w:val="22"/>
                <w:lang w:val="en-PH"/>
              </w:rPr>
              <w:t>24-hour Activity Profile</w:t>
            </w:r>
          </w:p>
        </w:tc>
        <w:tc>
          <w:tcPr>
            <w:tcW w:w="926" w:type="dxa"/>
            <w:vAlign w:val="center"/>
          </w:tcPr>
          <w:p w14:paraId="44606687"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1.27</w:t>
            </w:r>
          </w:p>
        </w:tc>
        <w:tc>
          <w:tcPr>
            <w:tcW w:w="2692" w:type="dxa"/>
            <w:vAlign w:val="center"/>
          </w:tcPr>
          <w:p w14:paraId="414A30D2"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No idea</w:t>
            </w:r>
          </w:p>
        </w:tc>
      </w:tr>
      <w:tr w:rsidR="006070FD" w:rsidRPr="00B5277D" w14:paraId="7284D4D4" w14:textId="77777777" w:rsidTr="00B5277D">
        <w:tc>
          <w:tcPr>
            <w:tcW w:w="5737" w:type="dxa"/>
            <w:vAlign w:val="center"/>
          </w:tcPr>
          <w:p w14:paraId="6491B9FB" w14:textId="77777777" w:rsidR="006070FD" w:rsidRPr="00B5277D" w:rsidRDefault="006070FD" w:rsidP="006070FD">
            <w:pPr>
              <w:tabs>
                <w:tab w:val="left" w:pos="3084"/>
              </w:tabs>
              <w:rPr>
                <w:rFonts w:eastAsia="Calibri"/>
                <w:bCs/>
                <w:szCs w:val="22"/>
                <w:lang w:val="en-PH"/>
              </w:rPr>
            </w:pPr>
            <w:r w:rsidRPr="00B5277D">
              <w:rPr>
                <w:rFonts w:eastAsia="Calibri"/>
                <w:bCs/>
                <w:szCs w:val="22"/>
                <w:lang w:val="en-PH"/>
              </w:rPr>
              <w:t>Harmonized Gender and Development Guidelines (HGDG)</w:t>
            </w:r>
          </w:p>
        </w:tc>
        <w:tc>
          <w:tcPr>
            <w:tcW w:w="926" w:type="dxa"/>
            <w:vAlign w:val="center"/>
          </w:tcPr>
          <w:p w14:paraId="4598BFBB"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1.59</w:t>
            </w:r>
          </w:p>
        </w:tc>
        <w:tc>
          <w:tcPr>
            <w:tcW w:w="2692" w:type="dxa"/>
            <w:vAlign w:val="center"/>
          </w:tcPr>
          <w:p w14:paraId="100031D8"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Know little about it</w:t>
            </w:r>
          </w:p>
        </w:tc>
      </w:tr>
      <w:tr w:rsidR="006070FD" w:rsidRPr="00B5277D" w14:paraId="0B396738" w14:textId="77777777" w:rsidTr="00B5277D">
        <w:tc>
          <w:tcPr>
            <w:tcW w:w="5737" w:type="dxa"/>
            <w:vAlign w:val="center"/>
          </w:tcPr>
          <w:p w14:paraId="6CE5AD0B" w14:textId="77777777" w:rsidR="006070FD" w:rsidRPr="00B5277D" w:rsidRDefault="006070FD" w:rsidP="006070FD">
            <w:pPr>
              <w:tabs>
                <w:tab w:val="left" w:pos="3084"/>
              </w:tabs>
              <w:rPr>
                <w:rFonts w:eastAsia="Calibri"/>
                <w:bCs/>
                <w:szCs w:val="22"/>
                <w:lang w:val="en-PH"/>
              </w:rPr>
            </w:pPr>
            <w:r w:rsidRPr="00B5277D">
              <w:rPr>
                <w:rFonts w:eastAsia="Calibri"/>
                <w:bCs/>
                <w:szCs w:val="22"/>
                <w:lang w:val="en-PH"/>
              </w:rPr>
              <w:t>Gender Mainstreaming Evaluation Framework (GMEF)</w:t>
            </w:r>
          </w:p>
        </w:tc>
        <w:tc>
          <w:tcPr>
            <w:tcW w:w="926" w:type="dxa"/>
            <w:vAlign w:val="center"/>
          </w:tcPr>
          <w:p w14:paraId="422C6BB8"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1.41</w:t>
            </w:r>
          </w:p>
        </w:tc>
        <w:tc>
          <w:tcPr>
            <w:tcW w:w="2692" w:type="dxa"/>
            <w:vAlign w:val="center"/>
          </w:tcPr>
          <w:p w14:paraId="3D2D3AE6"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No idea</w:t>
            </w:r>
          </w:p>
        </w:tc>
      </w:tr>
      <w:tr w:rsidR="006070FD" w:rsidRPr="00B5277D" w14:paraId="4A56FEF9" w14:textId="77777777" w:rsidTr="00B5277D">
        <w:tc>
          <w:tcPr>
            <w:tcW w:w="5737" w:type="dxa"/>
            <w:vAlign w:val="center"/>
          </w:tcPr>
          <w:p w14:paraId="343984C5" w14:textId="77777777" w:rsidR="006070FD" w:rsidRPr="00B5277D" w:rsidRDefault="006070FD" w:rsidP="006070FD">
            <w:pPr>
              <w:tabs>
                <w:tab w:val="left" w:pos="3084"/>
              </w:tabs>
              <w:rPr>
                <w:rFonts w:eastAsia="Calibri"/>
                <w:bCs/>
                <w:szCs w:val="22"/>
                <w:lang w:val="en-PH"/>
              </w:rPr>
            </w:pPr>
            <w:r w:rsidRPr="00B5277D">
              <w:rPr>
                <w:rFonts w:eastAsia="Calibri"/>
                <w:bCs/>
                <w:szCs w:val="22"/>
                <w:lang w:val="en-PH"/>
              </w:rPr>
              <w:t>Gender Gap Analysis Tool at the Community Level</w:t>
            </w:r>
          </w:p>
        </w:tc>
        <w:tc>
          <w:tcPr>
            <w:tcW w:w="926" w:type="dxa"/>
            <w:vAlign w:val="center"/>
          </w:tcPr>
          <w:p w14:paraId="1DA7409A"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1.43</w:t>
            </w:r>
          </w:p>
        </w:tc>
        <w:tc>
          <w:tcPr>
            <w:tcW w:w="2692" w:type="dxa"/>
            <w:vAlign w:val="center"/>
          </w:tcPr>
          <w:p w14:paraId="34660EEA"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No idea</w:t>
            </w:r>
          </w:p>
        </w:tc>
      </w:tr>
      <w:tr w:rsidR="006070FD" w:rsidRPr="00B5277D" w14:paraId="0C9E46A3" w14:textId="77777777" w:rsidTr="00B5277D">
        <w:tc>
          <w:tcPr>
            <w:tcW w:w="5737" w:type="dxa"/>
            <w:vAlign w:val="center"/>
          </w:tcPr>
          <w:p w14:paraId="068079BE" w14:textId="77777777" w:rsidR="006070FD" w:rsidRPr="00B5277D" w:rsidRDefault="006070FD" w:rsidP="006070FD">
            <w:pPr>
              <w:tabs>
                <w:tab w:val="left" w:pos="3084"/>
              </w:tabs>
              <w:rPr>
                <w:rFonts w:eastAsia="Calibri"/>
                <w:bCs/>
                <w:szCs w:val="22"/>
                <w:lang w:val="en-PH"/>
              </w:rPr>
            </w:pPr>
            <w:r w:rsidRPr="00B5277D">
              <w:rPr>
                <w:rFonts w:eastAsia="Calibri"/>
                <w:bCs/>
                <w:szCs w:val="22"/>
                <w:lang w:val="en-PH"/>
              </w:rPr>
              <w:t>International Labor Organization (ILO) - Participatory Gender Audit</w:t>
            </w:r>
          </w:p>
        </w:tc>
        <w:tc>
          <w:tcPr>
            <w:tcW w:w="926" w:type="dxa"/>
            <w:vAlign w:val="center"/>
          </w:tcPr>
          <w:p w14:paraId="09CB14FD"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1.09</w:t>
            </w:r>
          </w:p>
        </w:tc>
        <w:tc>
          <w:tcPr>
            <w:tcW w:w="2692" w:type="dxa"/>
            <w:vAlign w:val="center"/>
          </w:tcPr>
          <w:p w14:paraId="4EF0F2C5"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No idea</w:t>
            </w:r>
          </w:p>
        </w:tc>
      </w:tr>
      <w:tr w:rsidR="006070FD" w:rsidRPr="00B5277D" w14:paraId="48D7F407" w14:textId="77777777" w:rsidTr="00B5277D">
        <w:tc>
          <w:tcPr>
            <w:tcW w:w="5737" w:type="dxa"/>
            <w:vAlign w:val="center"/>
          </w:tcPr>
          <w:p w14:paraId="2F08913D" w14:textId="77777777" w:rsidR="006070FD" w:rsidRPr="00B5277D" w:rsidRDefault="006070FD" w:rsidP="006070FD">
            <w:pPr>
              <w:tabs>
                <w:tab w:val="left" w:pos="3084"/>
              </w:tabs>
              <w:jc w:val="center"/>
              <w:rPr>
                <w:rFonts w:eastAsia="Calibri"/>
                <w:szCs w:val="22"/>
                <w:lang w:val="en-PH"/>
              </w:rPr>
            </w:pPr>
            <w:r w:rsidRPr="00B5277D">
              <w:rPr>
                <w:rFonts w:eastAsia="Calibri"/>
                <w:szCs w:val="22"/>
                <w:lang w:val="en-PH"/>
              </w:rPr>
              <w:t>Over-all Weighted Mean</w:t>
            </w:r>
          </w:p>
        </w:tc>
        <w:tc>
          <w:tcPr>
            <w:tcW w:w="926" w:type="dxa"/>
          </w:tcPr>
          <w:p w14:paraId="76B8A993"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1.36</w:t>
            </w:r>
          </w:p>
        </w:tc>
        <w:tc>
          <w:tcPr>
            <w:tcW w:w="2692" w:type="dxa"/>
          </w:tcPr>
          <w:p w14:paraId="254E5322" w14:textId="77777777" w:rsidR="006070FD" w:rsidRPr="00B5277D" w:rsidRDefault="006070FD" w:rsidP="006070FD">
            <w:pPr>
              <w:tabs>
                <w:tab w:val="left" w:pos="3084"/>
              </w:tabs>
              <w:jc w:val="center"/>
              <w:rPr>
                <w:rFonts w:eastAsia="Calibri"/>
                <w:bCs/>
                <w:szCs w:val="22"/>
                <w:lang w:val="en-PH"/>
              </w:rPr>
            </w:pPr>
            <w:r w:rsidRPr="00B5277D">
              <w:rPr>
                <w:rFonts w:eastAsia="Calibri"/>
                <w:bCs/>
                <w:szCs w:val="22"/>
                <w:lang w:val="en-PH"/>
              </w:rPr>
              <w:t>No idea</w:t>
            </w:r>
          </w:p>
        </w:tc>
      </w:tr>
    </w:tbl>
    <w:p w14:paraId="1FB97E9F" w14:textId="77777777" w:rsidR="006070FD" w:rsidRPr="00B5277D" w:rsidRDefault="006070FD" w:rsidP="006070FD">
      <w:pPr>
        <w:widowControl w:val="0"/>
        <w:spacing w:before="43" w:after="0" w:line="240" w:lineRule="auto"/>
        <w:jc w:val="both"/>
        <w:rPr>
          <w:rFonts w:ascii="Times New Roman" w:eastAsia="SimSun" w:hAnsi="Times New Roman" w:cs="Times New Roman"/>
          <w:kern w:val="0"/>
          <w:sz w:val="20"/>
          <w:szCs w:val="22"/>
          <w:lang w:val="en-PH"/>
          <w14:ligatures w14:val="none"/>
        </w:rPr>
      </w:pPr>
    </w:p>
    <w:p w14:paraId="2A3B5794"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Table 2.3 highlights the familiarity of GFPS members at Apayao State College with various GAD tools. The overall weighted mean score of 1.36 indicates that, in general, the respondents have little to no knowledge regarding the utilization of GAD tools. The tools assessed include the </w:t>
      </w:r>
      <w:r w:rsidRPr="006070FD">
        <w:rPr>
          <w:rFonts w:ascii="Times New Roman" w:eastAsia="SimSun" w:hAnsi="Times New Roman" w:cs="Times New Roman"/>
          <w:i/>
          <w:iCs/>
          <w:kern w:val="0"/>
          <w:sz w:val="22"/>
          <w:szCs w:val="22"/>
          <w:lang w:val="en-PH"/>
          <w14:ligatures w14:val="none"/>
        </w:rPr>
        <w:t>24-hour Activity Profile</w:t>
      </w:r>
      <w:r w:rsidRPr="006070FD">
        <w:rPr>
          <w:rFonts w:ascii="Times New Roman" w:eastAsia="SimSun" w:hAnsi="Times New Roman" w:cs="Times New Roman"/>
          <w:kern w:val="0"/>
          <w:sz w:val="22"/>
          <w:szCs w:val="22"/>
          <w:lang w:val="en-PH"/>
          <w14:ligatures w14:val="none"/>
        </w:rPr>
        <w:t xml:space="preserve">, </w:t>
      </w:r>
      <w:r w:rsidRPr="006070FD">
        <w:rPr>
          <w:rFonts w:ascii="Times New Roman" w:eastAsia="SimSun" w:hAnsi="Times New Roman" w:cs="Times New Roman"/>
          <w:i/>
          <w:iCs/>
          <w:kern w:val="0"/>
          <w:sz w:val="22"/>
          <w:szCs w:val="22"/>
          <w:lang w:val="en-PH"/>
          <w14:ligatures w14:val="none"/>
        </w:rPr>
        <w:t>Harmonized Gender and Development Guidelines (HGDG)</w:t>
      </w:r>
      <w:r w:rsidRPr="006070FD">
        <w:rPr>
          <w:rFonts w:ascii="Times New Roman" w:eastAsia="SimSun" w:hAnsi="Times New Roman" w:cs="Times New Roman"/>
          <w:kern w:val="0"/>
          <w:sz w:val="22"/>
          <w:szCs w:val="22"/>
          <w:lang w:val="en-PH"/>
          <w14:ligatures w14:val="none"/>
        </w:rPr>
        <w:t xml:space="preserve">, </w:t>
      </w:r>
      <w:r w:rsidRPr="006070FD">
        <w:rPr>
          <w:rFonts w:ascii="Times New Roman" w:eastAsia="SimSun" w:hAnsi="Times New Roman" w:cs="Times New Roman"/>
          <w:i/>
          <w:iCs/>
          <w:kern w:val="0"/>
          <w:sz w:val="22"/>
          <w:szCs w:val="22"/>
          <w:lang w:val="en-PH"/>
          <w14:ligatures w14:val="none"/>
        </w:rPr>
        <w:t>Gender Mainstreaming Evaluation Framework (GMEF)</w:t>
      </w:r>
      <w:r w:rsidRPr="006070FD">
        <w:rPr>
          <w:rFonts w:ascii="Times New Roman" w:eastAsia="SimSun" w:hAnsi="Times New Roman" w:cs="Times New Roman"/>
          <w:kern w:val="0"/>
          <w:sz w:val="22"/>
          <w:szCs w:val="22"/>
          <w:lang w:val="en-PH"/>
          <w14:ligatures w14:val="none"/>
        </w:rPr>
        <w:t xml:space="preserve">, </w:t>
      </w:r>
      <w:r w:rsidRPr="006070FD">
        <w:rPr>
          <w:rFonts w:ascii="Times New Roman" w:eastAsia="SimSun" w:hAnsi="Times New Roman" w:cs="Times New Roman"/>
          <w:i/>
          <w:iCs/>
          <w:kern w:val="0"/>
          <w:sz w:val="22"/>
          <w:szCs w:val="22"/>
          <w:lang w:val="en-PH"/>
          <w14:ligatures w14:val="none"/>
        </w:rPr>
        <w:t>Gender Gap Analysis Tool at the Community Level</w:t>
      </w:r>
      <w:r w:rsidRPr="006070FD">
        <w:rPr>
          <w:rFonts w:ascii="Times New Roman" w:eastAsia="SimSun" w:hAnsi="Times New Roman" w:cs="Times New Roman"/>
          <w:kern w:val="0"/>
          <w:sz w:val="22"/>
          <w:szCs w:val="22"/>
          <w:lang w:val="en-PH"/>
          <w14:ligatures w14:val="none"/>
        </w:rPr>
        <w:t xml:space="preserve">, and the </w:t>
      </w:r>
      <w:r w:rsidRPr="006070FD">
        <w:rPr>
          <w:rFonts w:ascii="Times New Roman" w:eastAsia="SimSun" w:hAnsi="Times New Roman" w:cs="Times New Roman"/>
          <w:i/>
          <w:iCs/>
          <w:kern w:val="0"/>
          <w:sz w:val="22"/>
          <w:szCs w:val="22"/>
          <w:lang w:val="en-PH"/>
          <w14:ligatures w14:val="none"/>
        </w:rPr>
        <w:t>International Labor Organization (ILO) – Participatory Gender Audit</w:t>
      </w:r>
      <w:r w:rsidRPr="006070FD">
        <w:rPr>
          <w:rFonts w:ascii="Times New Roman" w:eastAsia="SimSun" w:hAnsi="Times New Roman" w:cs="Times New Roman"/>
          <w:kern w:val="0"/>
          <w:sz w:val="22"/>
          <w:szCs w:val="22"/>
          <w:lang w:val="en-PH"/>
          <w14:ligatures w14:val="none"/>
        </w:rPr>
        <w:t xml:space="preserve">. While the </w:t>
      </w:r>
      <w:r w:rsidRPr="006070FD">
        <w:rPr>
          <w:rFonts w:ascii="Times New Roman" w:eastAsia="SimSun" w:hAnsi="Times New Roman" w:cs="Times New Roman"/>
          <w:i/>
          <w:iCs/>
          <w:kern w:val="0"/>
          <w:sz w:val="22"/>
          <w:szCs w:val="22"/>
          <w:lang w:val="en-PH"/>
          <w14:ligatures w14:val="none"/>
        </w:rPr>
        <w:t>Harmonized Gender and Development Guidelines (HGDG)</w:t>
      </w:r>
      <w:r w:rsidRPr="006070FD">
        <w:rPr>
          <w:rFonts w:ascii="Times New Roman" w:eastAsia="SimSun" w:hAnsi="Times New Roman" w:cs="Times New Roman"/>
          <w:kern w:val="0"/>
          <w:sz w:val="22"/>
          <w:szCs w:val="22"/>
          <w:lang w:val="en-PH"/>
          <w14:ligatures w14:val="none"/>
        </w:rPr>
        <w:t xml:space="preserve"> scored relatively higher (1.59) indicating that members have minimal knowledge of it, the rest of the tools, such as the </w:t>
      </w:r>
      <w:r w:rsidRPr="006070FD">
        <w:rPr>
          <w:rFonts w:ascii="Times New Roman" w:eastAsia="SimSun" w:hAnsi="Times New Roman" w:cs="Times New Roman"/>
          <w:i/>
          <w:iCs/>
          <w:kern w:val="0"/>
          <w:sz w:val="22"/>
          <w:szCs w:val="22"/>
          <w:lang w:val="en-PH"/>
          <w14:ligatures w14:val="none"/>
        </w:rPr>
        <w:t>24-hour Activity Profile</w:t>
      </w:r>
      <w:r w:rsidRPr="006070FD">
        <w:rPr>
          <w:rFonts w:ascii="Times New Roman" w:eastAsia="SimSun" w:hAnsi="Times New Roman" w:cs="Times New Roman"/>
          <w:kern w:val="0"/>
          <w:sz w:val="22"/>
          <w:szCs w:val="22"/>
          <w:lang w:val="en-PH"/>
          <w14:ligatures w14:val="none"/>
        </w:rPr>
        <w:t xml:space="preserve"> (1.27), </w:t>
      </w:r>
      <w:r w:rsidRPr="006070FD">
        <w:rPr>
          <w:rFonts w:ascii="Times New Roman" w:eastAsia="SimSun" w:hAnsi="Times New Roman" w:cs="Times New Roman"/>
          <w:i/>
          <w:iCs/>
          <w:kern w:val="0"/>
          <w:sz w:val="22"/>
          <w:szCs w:val="22"/>
          <w:lang w:val="en-PH"/>
          <w14:ligatures w14:val="none"/>
        </w:rPr>
        <w:t>GMEF</w:t>
      </w:r>
      <w:r w:rsidRPr="006070FD">
        <w:rPr>
          <w:rFonts w:ascii="Times New Roman" w:eastAsia="SimSun" w:hAnsi="Times New Roman" w:cs="Times New Roman"/>
          <w:kern w:val="0"/>
          <w:sz w:val="22"/>
          <w:szCs w:val="22"/>
          <w:lang w:val="en-PH"/>
          <w14:ligatures w14:val="none"/>
        </w:rPr>
        <w:t xml:space="preserve"> (1.41), </w:t>
      </w:r>
      <w:r w:rsidRPr="006070FD">
        <w:rPr>
          <w:rFonts w:ascii="Times New Roman" w:eastAsia="SimSun" w:hAnsi="Times New Roman" w:cs="Times New Roman"/>
          <w:i/>
          <w:iCs/>
          <w:kern w:val="0"/>
          <w:sz w:val="22"/>
          <w:szCs w:val="22"/>
          <w:lang w:val="en-PH"/>
          <w14:ligatures w14:val="none"/>
        </w:rPr>
        <w:t>Gender Gap Analysis Tool</w:t>
      </w:r>
      <w:r w:rsidRPr="006070FD">
        <w:rPr>
          <w:rFonts w:ascii="Times New Roman" w:eastAsia="SimSun" w:hAnsi="Times New Roman" w:cs="Times New Roman"/>
          <w:kern w:val="0"/>
          <w:sz w:val="22"/>
          <w:szCs w:val="22"/>
          <w:lang w:val="en-PH"/>
          <w14:ligatures w14:val="none"/>
        </w:rPr>
        <w:t xml:space="preserve"> (1.43), and </w:t>
      </w:r>
      <w:r w:rsidRPr="006070FD">
        <w:rPr>
          <w:rFonts w:ascii="Times New Roman" w:eastAsia="SimSun" w:hAnsi="Times New Roman" w:cs="Times New Roman"/>
          <w:i/>
          <w:iCs/>
          <w:kern w:val="0"/>
          <w:sz w:val="22"/>
          <w:szCs w:val="22"/>
          <w:lang w:val="en-PH"/>
          <w14:ligatures w14:val="none"/>
        </w:rPr>
        <w:t>ILO Participatory Gender Audit</w:t>
      </w:r>
      <w:r w:rsidRPr="006070FD">
        <w:rPr>
          <w:rFonts w:ascii="Times New Roman" w:eastAsia="SimSun" w:hAnsi="Times New Roman" w:cs="Times New Roman"/>
          <w:kern w:val="0"/>
          <w:sz w:val="22"/>
          <w:szCs w:val="22"/>
          <w:lang w:val="en-PH"/>
          <w14:ligatures w14:val="none"/>
        </w:rPr>
        <w:t xml:space="preserve"> (1.09), were unfamiliar to most respondents.</w:t>
      </w:r>
    </w:p>
    <w:p w14:paraId="419B9CFC"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These findings suggest that there is a significant gap in the GFPS members' ability to apply GAD tools effectively, which are essential for conducting gender analysis and ensuring the success of gender mainstreaming initiatives. The limited familiarity with these tools could hinder the institution's capacity to develop evidence-based, gender-responsive policies and programs, as gender analysis is central to understanding and addressing gender disparities within the workplace or community. </w:t>
      </w:r>
      <w:r w:rsidRPr="006070FD">
        <w:rPr>
          <w:rFonts w:ascii="Times New Roman" w:eastAsia="SimSun" w:hAnsi="Times New Roman" w:cs="Times New Roman"/>
          <w:i/>
          <w:iCs/>
          <w:kern w:val="0"/>
          <w:sz w:val="22"/>
          <w:szCs w:val="22"/>
          <w:lang w:val="en-PH"/>
          <w14:ligatures w14:val="none"/>
        </w:rPr>
        <w:t>Jütting and de laiglesia (2019)</w:t>
      </w:r>
      <w:r w:rsidRPr="006070FD">
        <w:rPr>
          <w:rFonts w:ascii="Times New Roman" w:eastAsia="SimSun" w:hAnsi="Times New Roman" w:cs="Times New Roman"/>
          <w:kern w:val="0"/>
          <w:sz w:val="22"/>
          <w:szCs w:val="22"/>
          <w:lang w:val="en-PH"/>
          <w14:ligatures w14:val="none"/>
        </w:rPr>
        <w:t xml:space="preserve"> note that tools such as gender analysis frameworks, like the GMEF, play a critical role in assessing gender gaps, understanding gender dynamics, and integrating gender considerations into policies. This lack of familiarity with these tools at Apayao State College highlights a need for targeted interventions and training programs aimed at enhancing the technical knowledge and practical skills of GFPS members in using these tools.</w:t>
      </w:r>
    </w:p>
    <w:p w14:paraId="09E24FAF"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The absence of familiarity with tools like the </w:t>
      </w:r>
      <w:r w:rsidRPr="006070FD">
        <w:rPr>
          <w:rFonts w:ascii="Times New Roman" w:eastAsia="SimSun" w:hAnsi="Times New Roman" w:cs="Times New Roman"/>
          <w:i/>
          <w:iCs/>
          <w:kern w:val="0"/>
          <w:sz w:val="22"/>
          <w:szCs w:val="22"/>
          <w:lang w:val="en-PH"/>
          <w14:ligatures w14:val="none"/>
        </w:rPr>
        <w:t>International Labor Organization’s (ILO) Participatory Gender Audit</w:t>
      </w:r>
      <w:r w:rsidRPr="006070FD">
        <w:rPr>
          <w:rFonts w:ascii="Times New Roman" w:eastAsia="SimSun" w:hAnsi="Times New Roman" w:cs="Times New Roman"/>
          <w:kern w:val="0"/>
          <w:sz w:val="22"/>
          <w:szCs w:val="22"/>
          <w:lang w:val="en-PH"/>
          <w14:ligatures w14:val="none"/>
        </w:rPr>
        <w:t xml:space="preserve"> and the </w:t>
      </w:r>
      <w:r w:rsidRPr="006070FD">
        <w:rPr>
          <w:rFonts w:ascii="Times New Roman" w:eastAsia="SimSun" w:hAnsi="Times New Roman" w:cs="Times New Roman"/>
          <w:i/>
          <w:iCs/>
          <w:kern w:val="0"/>
          <w:sz w:val="22"/>
          <w:szCs w:val="22"/>
          <w:lang w:val="en-PH"/>
          <w14:ligatures w14:val="none"/>
        </w:rPr>
        <w:t>Gender Gap Analysis Tool at the Community Level</w:t>
      </w:r>
      <w:r w:rsidRPr="006070FD">
        <w:rPr>
          <w:rFonts w:ascii="Times New Roman" w:eastAsia="SimSun" w:hAnsi="Times New Roman" w:cs="Times New Roman"/>
          <w:kern w:val="0"/>
          <w:sz w:val="22"/>
          <w:szCs w:val="22"/>
          <w:lang w:val="en-PH"/>
          <w14:ligatures w14:val="none"/>
        </w:rPr>
        <w:t xml:space="preserve"> further emphasizes the challenge of applying a gender-sensitive approach to planning, monitoring, and evaluating programs. As </w:t>
      </w:r>
      <w:r w:rsidRPr="006070FD">
        <w:rPr>
          <w:rFonts w:ascii="Times New Roman" w:eastAsia="SimSun" w:hAnsi="Times New Roman" w:cs="Times New Roman"/>
          <w:i/>
          <w:iCs/>
          <w:kern w:val="0"/>
          <w:sz w:val="22"/>
          <w:szCs w:val="22"/>
          <w:lang w:val="en-PH"/>
          <w14:ligatures w14:val="none"/>
        </w:rPr>
        <w:t>Chant (2016)</w:t>
      </w:r>
      <w:r w:rsidRPr="006070FD">
        <w:rPr>
          <w:rFonts w:ascii="Times New Roman" w:eastAsia="SimSun" w:hAnsi="Times New Roman" w:cs="Times New Roman"/>
          <w:kern w:val="0"/>
          <w:sz w:val="22"/>
          <w:szCs w:val="22"/>
          <w:lang w:val="en-PH"/>
          <w14:ligatures w14:val="none"/>
        </w:rPr>
        <w:t xml:space="preserve"> explains, gender analysis tools allow organizations to collect and interpret data that reflect gender-specific challenges and opportunities. Without knowledge of how to use these tools, the GFPS at Apayao State College may struggle to design effective gender mainstreaming strategies that address the distinct needs of both male and female members of the college community.</w:t>
      </w:r>
    </w:p>
    <w:p w14:paraId="4A17A1C6"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The lack of understanding of tools for gender analysis could also impede the ability of the institution to align its gender equality strategies with broader national and global objectives, such as the </w:t>
      </w:r>
      <w:r w:rsidRPr="006070FD">
        <w:rPr>
          <w:rFonts w:ascii="Times New Roman" w:eastAsia="SimSun" w:hAnsi="Times New Roman" w:cs="Times New Roman"/>
          <w:i/>
          <w:iCs/>
          <w:kern w:val="0"/>
          <w:sz w:val="22"/>
          <w:szCs w:val="22"/>
          <w:lang w:val="en-PH"/>
          <w14:ligatures w14:val="none"/>
        </w:rPr>
        <w:t>Sustainable Development Goals (SDGs)</w:t>
      </w:r>
      <w:r w:rsidRPr="006070FD">
        <w:rPr>
          <w:rFonts w:ascii="Times New Roman" w:eastAsia="SimSun" w:hAnsi="Times New Roman" w:cs="Times New Roman"/>
          <w:kern w:val="0"/>
          <w:sz w:val="22"/>
          <w:szCs w:val="22"/>
          <w:lang w:val="en-PH"/>
          <w14:ligatures w14:val="none"/>
        </w:rPr>
        <w:t xml:space="preserve">, which call for the integration of gender-sensitive practices into all levels of governance and organizational operations. As </w:t>
      </w:r>
      <w:r w:rsidRPr="006070FD">
        <w:rPr>
          <w:rFonts w:ascii="Times New Roman" w:eastAsia="SimSun" w:hAnsi="Times New Roman" w:cs="Times New Roman"/>
          <w:i/>
          <w:iCs/>
          <w:kern w:val="0"/>
          <w:sz w:val="22"/>
          <w:szCs w:val="22"/>
          <w:lang w:val="en-PH"/>
          <w14:ligatures w14:val="none"/>
        </w:rPr>
        <w:t>Kabeer (2019)</w:t>
      </w:r>
      <w:r w:rsidRPr="006070FD">
        <w:rPr>
          <w:rFonts w:ascii="Times New Roman" w:eastAsia="SimSun" w:hAnsi="Times New Roman" w:cs="Times New Roman"/>
          <w:kern w:val="0"/>
          <w:sz w:val="22"/>
          <w:szCs w:val="22"/>
          <w:lang w:val="en-PH"/>
          <w14:ligatures w14:val="none"/>
        </w:rPr>
        <w:t xml:space="preserve"> argues, organizations that lack gender analysis capacities often fail to design interventions that tackle the root causes of gender inequality. In light of these </w:t>
      </w:r>
      <w:r w:rsidRPr="006070FD">
        <w:rPr>
          <w:rFonts w:ascii="Times New Roman" w:eastAsia="SimSun" w:hAnsi="Times New Roman" w:cs="Times New Roman"/>
          <w:kern w:val="0"/>
          <w:sz w:val="22"/>
          <w:szCs w:val="22"/>
          <w:lang w:val="en-PH"/>
          <w14:ligatures w14:val="none"/>
        </w:rPr>
        <w:lastRenderedPageBreak/>
        <w:t>challenges, there is a clear need for capacity-building initiatives that equip GFPS members with the knowledge and skills required to effectively apply GAD tools, as these tools provide vital data for the development and implementation of gender-responsive actions.</w:t>
      </w:r>
    </w:p>
    <w:p w14:paraId="491187C2" w14:textId="77777777" w:rsidR="00B5277D" w:rsidRDefault="006070FD" w:rsidP="00B5277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Last, the findings suggest that Apayao State College’s GFPS members must undergo comprehensive training and workshops that specifically focus on the practical application of GAD tools. Such capacity-building initiatives will improve their ability to conduct gender analysis and support the college in achievi</w:t>
      </w:r>
      <w:r w:rsidR="00B5277D">
        <w:rPr>
          <w:rFonts w:ascii="Times New Roman" w:eastAsia="SimSun" w:hAnsi="Times New Roman" w:cs="Times New Roman"/>
          <w:kern w:val="0"/>
          <w:sz w:val="22"/>
          <w:szCs w:val="22"/>
          <w:lang w:val="en-PH"/>
          <w14:ligatures w14:val="none"/>
        </w:rPr>
        <w:t>ng its gender equality goals.</w:t>
      </w:r>
    </w:p>
    <w:p w14:paraId="103FB885" w14:textId="7D63D22D" w:rsidR="006070FD" w:rsidRPr="00B5277D" w:rsidRDefault="00B5277D" w:rsidP="00B5277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Pr>
          <w:rFonts w:ascii="Times New Roman" w:eastAsia="SimSun" w:hAnsi="Times New Roman" w:cs="Times New Roman"/>
          <w:kern w:val="0"/>
          <w:sz w:val="22"/>
          <w:szCs w:val="22"/>
          <w:lang w:val="en-PH"/>
          <w14:ligatures w14:val="none"/>
        </w:rPr>
        <w:br/>
      </w:r>
      <w:r>
        <w:rPr>
          <w:rFonts w:ascii="Times New Roman" w:eastAsia="Calibri" w:hAnsi="Times New Roman" w:cs="Times New Roman"/>
          <w:b/>
          <w:sz w:val="22"/>
          <w:szCs w:val="22"/>
          <w:lang w:val="en-PH"/>
          <w14:ligatures w14:val="none"/>
        </w:rPr>
        <w:t xml:space="preserve">3. </w:t>
      </w:r>
      <w:r w:rsidR="006070FD" w:rsidRPr="006070FD">
        <w:rPr>
          <w:rFonts w:ascii="Times New Roman" w:eastAsia="Calibri" w:hAnsi="Times New Roman" w:cs="Times New Roman"/>
          <w:b/>
          <w:sz w:val="22"/>
          <w:szCs w:val="22"/>
          <w:lang w:val="en-PH"/>
          <w14:ligatures w14:val="none"/>
        </w:rPr>
        <w:t>Significant Difference on the level of familiarity of GFPS members to GAD concepts; GAD mandates; and GAD tools when grouped according to demographic profile variables</w:t>
      </w:r>
    </w:p>
    <w:p w14:paraId="77968DCC" w14:textId="77777777" w:rsidR="006070FD" w:rsidRPr="006070FD" w:rsidRDefault="006070FD" w:rsidP="00B5277D">
      <w:pPr>
        <w:spacing w:after="0" w:line="240" w:lineRule="auto"/>
        <w:ind w:left="720"/>
        <w:contextualSpacing/>
        <w:jc w:val="both"/>
        <w:rPr>
          <w:rFonts w:ascii="Times New Roman" w:eastAsia="Calibri" w:hAnsi="Times New Roman" w:cs="Times New Roman"/>
          <w:b/>
          <w:sz w:val="22"/>
          <w:szCs w:val="22"/>
          <w:lang w:val="en-PH"/>
          <w14:ligatures w14:val="none"/>
        </w:rPr>
      </w:pPr>
    </w:p>
    <w:p w14:paraId="65CAAFE3" w14:textId="77777777" w:rsidR="006070FD" w:rsidRPr="00B5277D" w:rsidRDefault="006070FD" w:rsidP="00B5277D">
      <w:pPr>
        <w:spacing w:after="0" w:line="240" w:lineRule="auto"/>
        <w:contextualSpacing/>
        <w:rPr>
          <w:rFonts w:ascii="Times New Roman" w:eastAsia="Calibri" w:hAnsi="Times New Roman" w:cs="Times New Roman"/>
          <w:bCs/>
          <w:i/>
          <w:iCs/>
          <w:sz w:val="20"/>
          <w:szCs w:val="22"/>
          <w:lang w:val="en-PH"/>
          <w14:ligatures w14:val="none"/>
        </w:rPr>
      </w:pPr>
      <w:r w:rsidRPr="00B5277D">
        <w:rPr>
          <w:rFonts w:ascii="Times New Roman" w:eastAsia="Calibri" w:hAnsi="Times New Roman" w:cs="Times New Roman"/>
          <w:bCs/>
          <w:iCs/>
          <w:sz w:val="20"/>
          <w:szCs w:val="22"/>
          <w:lang w:val="en-PH"/>
          <w14:ligatures w14:val="none"/>
        </w:rPr>
        <w:t>Table 3.</w:t>
      </w:r>
      <w:r w:rsidRPr="00B5277D">
        <w:rPr>
          <w:rFonts w:ascii="Times New Roman" w:eastAsia="Calibri" w:hAnsi="Times New Roman" w:cs="Times New Roman"/>
          <w:bCs/>
          <w:i/>
          <w:iCs/>
          <w:sz w:val="20"/>
          <w:szCs w:val="22"/>
          <w:lang w:val="en-PH"/>
          <w14:ligatures w14:val="none"/>
        </w:rPr>
        <w:t xml:space="preserve"> </w:t>
      </w:r>
      <w:bookmarkStart w:id="10" w:name="_Hlk174541436"/>
      <w:r w:rsidRPr="00B5277D">
        <w:rPr>
          <w:rFonts w:ascii="Times New Roman" w:eastAsia="Calibri" w:hAnsi="Times New Roman" w:cs="Times New Roman"/>
          <w:bCs/>
          <w:i/>
          <w:iCs/>
          <w:sz w:val="20"/>
          <w:szCs w:val="22"/>
          <w:lang w:val="en-PH"/>
          <w14:ligatures w14:val="none"/>
        </w:rPr>
        <w:t>Significant Difference on the level of familiarity of GFPS members to GAD Concepts, Mandates and Policies, Tools when grouped according to Demographic Profile Variables</w:t>
      </w:r>
      <w:bookmarkEnd w:id="10"/>
    </w:p>
    <w:p w14:paraId="2BCA7D25" w14:textId="77777777" w:rsidR="006070FD" w:rsidRPr="00B5277D" w:rsidRDefault="006070FD" w:rsidP="006070FD">
      <w:pPr>
        <w:spacing w:after="0" w:line="240" w:lineRule="auto"/>
        <w:ind w:left="720"/>
        <w:contextualSpacing/>
        <w:jc w:val="center"/>
        <w:rPr>
          <w:rFonts w:ascii="Times New Roman" w:eastAsia="Calibri" w:hAnsi="Times New Roman" w:cs="Times New Roman"/>
          <w:bCs/>
          <w:i/>
          <w:iCs/>
          <w:sz w:val="20"/>
          <w:szCs w:val="22"/>
          <w:lang w:val="en-PH"/>
          <w14:ligatures w14:val="none"/>
        </w:rPr>
      </w:pPr>
    </w:p>
    <w:tbl>
      <w:tblPr>
        <w:tblStyle w:val="TableGrid"/>
        <w:tblW w:w="0" w:type="auto"/>
        <w:tblInd w:w="-5" w:type="dxa"/>
        <w:tblLook w:val="0000" w:firstRow="0" w:lastRow="0" w:firstColumn="0" w:lastColumn="0" w:noHBand="0" w:noVBand="0"/>
      </w:tblPr>
      <w:tblGrid>
        <w:gridCol w:w="4522"/>
        <w:gridCol w:w="974"/>
        <w:gridCol w:w="1249"/>
        <w:gridCol w:w="1672"/>
        <w:gridCol w:w="938"/>
      </w:tblGrid>
      <w:tr w:rsidR="006070FD" w:rsidRPr="00B5277D" w14:paraId="6AFEF123" w14:textId="77777777" w:rsidTr="00B5277D">
        <w:tc>
          <w:tcPr>
            <w:tcW w:w="4522" w:type="dxa"/>
          </w:tcPr>
          <w:p w14:paraId="122FBA94" w14:textId="77777777" w:rsidR="006070FD" w:rsidRPr="00B5277D" w:rsidRDefault="006070FD" w:rsidP="006070FD">
            <w:pPr>
              <w:jc w:val="center"/>
              <w:rPr>
                <w:rFonts w:eastAsia="Calibri"/>
                <w:bCs/>
                <w:szCs w:val="22"/>
                <w:lang w:val="en-PH"/>
              </w:rPr>
            </w:pPr>
            <w:r w:rsidRPr="00B5277D">
              <w:rPr>
                <w:rFonts w:eastAsia="Calibri"/>
                <w:bCs/>
                <w:szCs w:val="22"/>
                <w:lang w:val="en-PH"/>
              </w:rPr>
              <w:t>Demographic Profile</w:t>
            </w:r>
          </w:p>
        </w:tc>
        <w:tc>
          <w:tcPr>
            <w:tcW w:w="974" w:type="dxa"/>
          </w:tcPr>
          <w:p w14:paraId="4C1573D7" w14:textId="77777777" w:rsidR="006070FD" w:rsidRPr="00B5277D" w:rsidRDefault="006070FD" w:rsidP="006070FD">
            <w:pPr>
              <w:jc w:val="center"/>
              <w:rPr>
                <w:rFonts w:eastAsia="Calibri"/>
                <w:bCs/>
                <w:szCs w:val="22"/>
                <w:lang w:val="en-PH"/>
              </w:rPr>
            </w:pPr>
            <w:r w:rsidRPr="00B5277D">
              <w:rPr>
                <w:rFonts w:eastAsia="Calibri"/>
                <w:bCs/>
                <w:szCs w:val="22"/>
                <w:lang w:val="en-PH"/>
              </w:rPr>
              <w:t>p-value</w:t>
            </w:r>
          </w:p>
        </w:tc>
        <w:tc>
          <w:tcPr>
            <w:tcW w:w="1249" w:type="dxa"/>
          </w:tcPr>
          <w:p w14:paraId="6E09E228" w14:textId="77777777" w:rsidR="006070FD" w:rsidRPr="00B5277D" w:rsidRDefault="006070FD" w:rsidP="006070FD">
            <w:pPr>
              <w:jc w:val="center"/>
              <w:rPr>
                <w:rFonts w:eastAsia="Calibri"/>
                <w:bCs/>
                <w:szCs w:val="22"/>
                <w:lang w:val="en-PH"/>
              </w:rPr>
            </w:pPr>
            <w:r w:rsidRPr="00B5277D">
              <w:rPr>
                <w:rFonts w:eastAsia="Calibri"/>
                <w:bCs/>
                <w:szCs w:val="22"/>
                <w:lang w:val="en-PH"/>
              </w:rPr>
              <w:t>Computed F - value</w:t>
            </w:r>
          </w:p>
        </w:tc>
        <w:tc>
          <w:tcPr>
            <w:tcW w:w="1672" w:type="dxa"/>
          </w:tcPr>
          <w:p w14:paraId="0C361DAF" w14:textId="77777777" w:rsidR="006070FD" w:rsidRPr="00B5277D" w:rsidRDefault="006070FD" w:rsidP="006070FD">
            <w:pPr>
              <w:jc w:val="center"/>
              <w:rPr>
                <w:rFonts w:eastAsia="Calibri"/>
                <w:bCs/>
                <w:szCs w:val="22"/>
                <w:lang w:val="en-PH"/>
              </w:rPr>
            </w:pPr>
            <w:r w:rsidRPr="00B5277D">
              <w:rPr>
                <w:rFonts w:eastAsia="Calibri"/>
                <w:bCs/>
                <w:szCs w:val="22"/>
                <w:lang w:val="en-PH"/>
              </w:rPr>
              <w:t>Decision on Ho</w:t>
            </w:r>
          </w:p>
        </w:tc>
        <w:tc>
          <w:tcPr>
            <w:tcW w:w="938" w:type="dxa"/>
          </w:tcPr>
          <w:p w14:paraId="131D6D83" w14:textId="77777777" w:rsidR="006070FD" w:rsidRPr="00B5277D" w:rsidRDefault="006070FD" w:rsidP="006070FD">
            <w:pPr>
              <w:jc w:val="center"/>
              <w:rPr>
                <w:rFonts w:eastAsia="Calibri"/>
                <w:bCs/>
                <w:szCs w:val="22"/>
                <w:lang w:val="en-PH"/>
              </w:rPr>
            </w:pPr>
            <w:r w:rsidRPr="00B5277D">
              <w:rPr>
                <w:rFonts w:eastAsia="Calibri"/>
                <w:bCs/>
                <w:szCs w:val="22"/>
                <w:lang w:val="en-PH"/>
              </w:rPr>
              <w:t>VI</w:t>
            </w:r>
          </w:p>
        </w:tc>
      </w:tr>
      <w:tr w:rsidR="006070FD" w:rsidRPr="00B5277D" w14:paraId="2AB5FAD1" w14:textId="77777777" w:rsidTr="00B5277D">
        <w:tc>
          <w:tcPr>
            <w:tcW w:w="9355" w:type="dxa"/>
            <w:gridSpan w:val="5"/>
          </w:tcPr>
          <w:p w14:paraId="5175AE8B" w14:textId="77777777" w:rsidR="006070FD" w:rsidRPr="00B5277D" w:rsidRDefault="006070FD" w:rsidP="006070FD">
            <w:pPr>
              <w:jc w:val="both"/>
              <w:rPr>
                <w:rFonts w:eastAsia="Calibri"/>
                <w:szCs w:val="22"/>
                <w:lang w:val="en-PH"/>
              </w:rPr>
            </w:pPr>
            <w:r w:rsidRPr="00B5277D">
              <w:rPr>
                <w:rFonts w:eastAsia="Calibri"/>
                <w:szCs w:val="22"/>
                <w:lang w:val="en-PH"/>
              </w:rPr>
              <w:t>GAD Concepts</w:t>
            </w:r>
          </w:p>
        </w:tc>
      </w:tr>
      <w:tr w:rsidR="006070FD" w:rsidRPr="00B5277D" w14:paraId="061B62FC" w14:textId="77777777" w:rsidTr="00B5277D">
        <w:tc>
          <w:tcPr>
            <w:tcW w:w="4522" w:type="dxa"/>
            <w:shd w:val="clear" w:color="auto" w:fill="FFFFFF"/>
          </w:tcPr>
          <w:p w14:paraId="2263E21E" w14:textId="77777777" w:rsidR="006070FD" w:rsidRPr="00B5277D" w:rsidRDefault="006070FD" w:rsidP="006070FD">
            <w:pPr>
              <w:rPr>
                <w:rFonts w:eastAsia="Calibri"/>
                <w:bCs/>
                <w:szCs w:val="22"/>
                <w:lang w:val="en-PH"/>
              </w:rPr>
            </w:pPr>
            <w:r w:rsidRPr="00B5277D">
              <w:rPr>
                <w:rFonts w:eastAsia="Calibri"/>
                <w:bCs/>
                <w:szCs w:val="22"/>
                <w:lang w:val="en-PH"/>
              </w:rPr>
              <w:t>Sex</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bottom"/>
          </w:tcPr>
          <w:p w14:paraId="6CE66998" w14:textId="77777777" w:rsidR="006070FD" w:rsidRPr="00B5277D" w:rsidRDefault="006070FD" w:rsidP="006070FD">
            <w:pPr>
              <w:jc w:val="center"/>
              <w:rPr>
                <w:rFonts w:eastAsia="Calibri"/>
                <w:bCs/>
                <w:szCs w:val="22"/>
                <w:lang w:val="en-PH"/>
              </w:rPr>
            </w:pPr>
            <w:r w:rsidRPr="00B5277D">
              <w:rPr>
                <w:rFonts w:eastAsia="Calibri"/>
                <w:szCs w:val="22"/>
                <w:lang w:val="en-PH"/>
              </w:rPr>
              <w:t>0.0002</w:t>
            </w:r>
          </w:p>
        </w:tc>
        <w:tc>
          <w:tcPr>
            <w:tcW w:w="1249" w:type="dxa"/>
            <w:tcBorders>
              <w:top w:val="single" w:sz="4" w:space="0" w:color="auto"/>
              <w:left w:val="nil"/>
              <w:bottom w:val="single" w:sz="4" w:space="0" w:color="auto"/>
              <w:right w:val="single" w:sz="4" w:space="0" w:color="auto"/>
            </w:tcBorders>
            <w:shd w:val="clear" w:color="auto" w:fill="FFFFFF"/>
            <w:vAlign w:val="bottom"/>
          </w:tcPr>
          <w:p w14:paraId="5E6DDE1C" w14:textId="77777777" w:rsidR="006070FD" w:rsidRPr="00B5277D" w:rsidRDefault="006070FD" w:rsidP="006070FD">
            <w:pPr>
              <w:jc w:val="center"/>
              <w:rPr>
                <w:rFonts w:eastAsia="Calibri"/>
                <w:bCs/>
                <w:szCs w:val="22"/>
                <w:lang w:val="en-PH"/>
              </w:rPr>
            </w:pPr>
            <w:r w:rsidRPr="00B5277D">
              <w:rPr>
                <w:rFonts w:eastAsia="Calibri"/>
                <w:szCs w:val="22"/>
                <w:lang w:val="en-PH"/>
              </w:rPr>
              <w:t>15.07</w:t>
            </w:r>
          </w:p>
        </w:tc>
        <w:tc>
          <w:tcPr>
            <w:tcW w:w="1672" w:type="dxa"/>
            <w:tcBorders>
              <w:top w:val="single" w:sz="4" w:space="0" w:color="auto"/>
              <w:left w:val="nil"/>
              <w:bottom w:val="single" w:sz="4" w:space="0" w:color="auto"/>
              <w:right w:val="single" w:sz="4" w:space="0" w:color="auto"/>
            </w:tcBorders>
            <w:shd w:val="clear" w:color="auto" w:fill="FFFFFF"/>
            <w:vAlign w:val="bottom"/>
          </w:tcPr>
          <w:p w14:paraId="37EEB59C" w14:textId="77777777" w:rsidR="006070FD" w:rsidRPr="00B5277D" w:rsidRDefault="006070FD" w:rsidP="006070FD">
            <w:pPr>
              <w:jc w:val="center"/>
              <w:rPr>
                <w:rFonts w:eastAsia="Calibri"/>
                <w:bCs/>
                <w:szCs w:val="22"/>
                <w:lang w:val="en-PH"/>
              </w:rPr>
            </w:pPr>
            <w:r w:rsidRPr="00B5277D">
              <w:rPr>
                <w:rFonts w:eastAsia="Calibri"/>
                <w:szCs w:val="22"/>
                <w:lang w:val="en-PH"/>
              </w:rPr>
              <w:t>Rejected</w:t>
            </w:r>
          </w:p>
        </w:tc>
        <w:tc>
          <w:tcPr>
            <w:tcW w:w="938" w:type="dxa"/>
            <w:tcBorders>
              <w:top w:val="single" w:sz="4" w:space="0" w:color="auto"/>
              <w:left w:val="nil"/>
              <w:bottom w:val="single" w:sz="4" w:space="0" w:color="auto"/>
              <w:right w:val="single" w:sz="8" w:space="0" w:color="auto"/>
            </w:tcBorders>
            <w:shd w:val="clear" w:color="auto" w:fill="FFFFFF"/>
            <w:vAlign w:val="bottom"/>
          </w:tcPr>
          <w:p w14:paraId="5BB9E88D" w14:textId="77777777" w:rsidR="006070FD" w:rsidRPr="00B5277D" w:rsidRDefault="006070FD" w:rsidP="006070FD">
            <w:pPr>
              <w:jc w:val="center"/>
              <w:rPr>
                <w:rFonts w:eastAsia="Calibri"/>
                <w:bCs/>
                <w:szCs w:val="22"/>
                <w:lang w:val="en-PH"/>
              </w:rPr>
            </w:pPr>
            <w:r w:rsidRPr="00B5277D">
              <w:rPr>
                <w:rFonts w:eastAsia="Calibri"/>
                <w:szCs w:val="22"/>
                <w:lang w:val="en-PH"/>
              </w:rPr>
              <w:t>S</w:t>
            </w:r>
          </w:p>
        </w:tc>
      </w:tr>
      <w:tr w:rsidR="006070FD" w:rsidRPr="00B5277D" w14:paraId="52D1569B" w14:textId="77777777" w:rsidTr="00B5277D">
        <w:tc>
          <w:tcPr>
            <w:tcW w:w="4522" w:type="dxa"/>
            <w:shd w:val="clear" w:color="auto" w:fill="FFFFFF"/>
          </w:tcPr>
          <w:p w14:paraId="63B11764" w14:textId="77777777" w:rsidR="006070FD" w:rsidRPr="00B5277D" w:rsidRDefault="006070FD" w:rsidP="006070FD">
            <w:pPr>
              <w:rPr>
                <w:rFonts w:eastAsia="Calibri"/>
                <w:bCs/>
                <w:szCs w:val="22"/>
                <w:lang w:val="en-PH"/>
              </w:rPr>
            </w:pPr>
            <w:r w:rsidRPr="00B5277D">
              <w:rPr>
                <w:rFonts w:eastAsia="Calibri"/>
                <w:bCs/>
                <w:szCs w:val="22"/>
                <w:lang w:val="en-PH"/>
              </w:rPr>
              <w:t>Age</w:t>
            </w:r>
          </w:p>
        </w:tc>
        <w:tc>
          <w:tcPr>
            <w:tcW w:w="974" w:type="dxa"/>
            <w:tcBorders>
              <w:top w:val="nil"/>
              <w:left w:val="single" w:sz="4" w:space="0" w:color="auto"/>
              <w:bottom w:val="single" w:sz="4" w:space="0" w:color="auto"/>
              <w:right w:val="single" w:sz="4" w:space="0" w:color="auto"/>
            </w:tcBorders>
            <w:shd w:val="clear" w:color="auto" w:fill="FFFFFF"/>
            <w:vAlign w:val="bottom"/>
          </w:tcPr>
          <w:p w14:paraId="1BDB39DD" w14:textId="77777777" w:rsidR="006070FD" w:rsidRPr="00B5277D" w:rsidRDefault="006070FD" w:rsidP="006070FD">
            <w:pPr>
              <w:jc w:val="center"/>
              <w:rPr>
                <w:rFonts w:eastAsia="Calibri"/>
                <w:bCs/>
                <w:szCs w:val="22"/>
                <w:lang w:val="en-PH"/>
              </w:rPr>
            </w:pPr>
            <w:r w:rsidRPr="00B5277D">
              <w:rPr>
                <w:rFonts w:eastAsia="Calibri"/>
                <w:szCs w:val="22"/>
                <w:lang w:val="en-PH"/>
              </w:rPr>
              <w:t>0.00565</w:t>
            </w:r>
          </w:p>
        </w:tc>
        <w:tc>
          <w:tcPr>
            <w:tcW w:w="1249" w:type="dxa"/>
            <w:tcBorders>
              <w:top w:val="nil"/>
              <w:left w:val="nil"/>
              <w:bottom w:val="single" w:sz="4" w:space="0" w:color="auto"/>
              <w:right w:val="single" w:sz="4" w:space="0" w:color="auto"/>
            </w:tcBorders>
            <w:shd w:val="clear" w:color="auto" w:fill="FFFFFF"/>
            <w:vAlign w:val="bottom"/>
          </w:tcPr>
          <w:p w14:paraId="4447814B" w14:textId="77777777" w:rsidR="006070FD" w:rsidRPr="00B5277D" w:rsidRDefault="006070FD" w:rsidP="006070FD">
            <w:pPr>
              <w:jc w:val="center"/>
              <w:rPr>
                <w:rFonts w:eastAsia="Calibri"/>
                <w:bCs/>
                <w:szCs w:val="22"/>
                <w:lang w:val="en-PH"/>
              </w:rPr>
            </w:pPr>
            <w:r w:rsidRPr="00B5277D">
              <w:rPr>
                <w:rFonts w:eastAsia="Calibri"/>
                <w:szCs w:val="22"/>
                <w:lang w:val="en-PH"/>
              </w:rPr>
              <w:t>4.588</w:t>
            </w:r>
          </w:p>
        </w:tc>
        <w:tc>
          <w:tcPr>
            <w:tcW w:w="1672" w:type="dxa"/>
            <w:tcBorders>
              <w:top w:val="nil"/>
              <w:left w:val="nil"/>
              <w:bottom w:val="single" w:sz="4" w:space="0" w:color="auto"/>
              <w:right w:val="single" w:sz="4" w:space="0" w:color="auto"/>
            </w:tcBorders>
            <w:shd w:val="clear" w:color="auto" w:fill="FFFFFF"/>
            <w:vAlign w:val="bottom"/>
          </w:tcPr>
          <w:p w14:paraId="0637E1F5" w14:textId="77777777" w:rsidR="006070FD" w:rsidRPr="00B5277D" w:rsidRDefault="006070FD" w:rsidP="006070FD">
            <w:pPr>
              <w:jc w:val="center"/>
              <w:rPr>
                <w:rFonts w:eastAsia="Calibri"/>
                <w:bCs/>
                <w:szCs w:val="22"/>
                <w:lang w:val="en-PH"/>
              </w:rPr>
            </w:pPr>
            <w:r w:rsidRPr="00B5277D">
              <w:rPr>
                <w:rFonts w:eastAsia="Calibri"/>
                <w:szCs w:val="22"/>
                <w:lang w:val="en-PH"/>
              </w:rPr>
              <w:t>Rejected</w:t>
            </w:r>
          </w:p>
        </w:tc>
        <w:tc>
          <w:tcPr>
            <w:tcW w:w="938" w:type="dxa"/>
            <w:tcBorders>
              <w:top w:val="nil"/>
              <w:left w:val="nil"/>
              <w:bottom w:val="single" w:sz="4" w:space="0" w:color="auto"/>
              <w:right w:val="single" w:sz="8" w:space="0" w:color="auto"/>
            </w:tcBorders>
            <w:shd w:val="clear" w:color="auto" w:fill="FFFFFF"/>
            <w:vAlign w:val="bottom"/>
          </w:tcPr>
          <w:p w14:paraId="28E420F6" w14:textId="77777777" w:rsidR="006070FD" w:rsidRPr="00B5277D" w:rsidRDefault="006070FD" w:rsidP="006070FD">
            <w:pPr>
              <w:jc w:val="center"/>
              <w:rPr>
                <w:rFonts w:eastAsia="Calibri"/>
                <w:bCs/>
                <w:szCs w:val="22"/>
                <w:lang w:val="en-PH"/>
              </w:rPr>
            </w:pPr>
            <w:r w:rsidRPr="00B5277D">
              <w:rPr>
                <w:rFonts w:eastAsia="Calibri"/>
                <w:szCs w:val="22"/>
                <w:lang w:val="en-PH"/>
              </w:rPr>
              <w:t>S</w:t>
            </w:r>
          </w:p>
        </w:tc>
      </w:tr>
      <w:tr w:rsidR="006070FD" w:rsidRPr="00B5277D" w14:paraId="0B029B30" w14:textId="77777777" w:rsidTr="00B5277D">
        <w:tc>
          <w:tcPr>
            <w:tcW w:w="4522" w:type="dxa"/>
            <w:shd w:val="clear" w:color="auto" w:fill="FFFFFF"/>
          </w:tcPr>
          <w:p w14:paraId="43F45EF6" w14:textId="77777777" w:rsidR="006070FD" w:rsidRPr="00B5277D" w:rsidRDefault="006070FD" w:rsidP="006070FD">
            <w:pPr>
              <w:rPr>
                <w:rFonts w:eastAsia="Calibri"/>
                <w:bCs/>
                <w:szCs w:val="22"/>
                <w:lang w:val="en-PH"/>
              </w:rPr>
            </w:pPr>
            <w:r w:rsidRPr="00B5277D">
              <w:rPr>
                <w:rFonts w:eastAsia="Calibri"/>
                <w:bCs/>
                <w:szCs w:val="22"/>
                <w:lang w:val="en-PH"/>
              </w:rPr>
              <w:t>Educational Attainment</w:t>
            </w:r>
          </w:p>
        </w:tc>
        <w:tc>
          <w:tcPr>
            <w:tcW w:w="974" w:type="dxa"/>
            <w:tcBorders>
              <w:top w:val="nil"/>
              <w:left w:val="single" w:sz="4" w:space="0" w:color="auto"/>
              <w:bottom w:val="single" w:sz="4" w:space="0" w:color="auto"/>
              <w:right w:val="single" w:sz="4" w:space="0" w:color="auto"/>
            </w:tcBorders>
            <w:shd w:val="clear" w:color="auto" w:fill="FFFFFF"/>
            <w:vAlign w:val="bottom"/>
          </w:tcPr>
          <w:p w14:paraId="10EBD75D" w14:textId="77777777" w:rsidR="006070FD" w:rsidRPr="00B5277D" w:rsidRDefault="006070FD" w:rsidP="006070FD">
            <w:pPr>
              <w:jc w:val="center"/>
              <w:rPr>
                <w:rFonts w:eastAsia="Calibri"/>
                <w:bCs/>
                <w:szCs w:val="22"/>
                <w:lang w:val="en-PH"/>
              </w:rPr>
            </w:pPr>
            <w:r w:rsidRPr="00B5277D">
              <w:rPr>
                <w:rFonts w:eastAsia="Calibri"/>
                <w:szCs w:val="22"/>
                <w:lang w:val="en-PH"/>
              </w:rPr>
              <w:t>0.001</w:t>
            </w:r>
          </w:p>
        </w:tc>
        <w:tc>
          <w:tcPr>
            <w:tcW w:w="1249" w:type="dxa"/>
            <w:tcBorders>
              <w:top w:val="nil"/>
              <w:left w:val="nil"/>
              <w:bottom w:val="single" w:sz="4" w:space="0" w:color="auto"/>
              <w:right w:val="single" w:sz="4" w:space="0" w:color="auto"/>
            </w:tcBorders>
            <w:shd w:val="clear" w:color="auto" w:fill="FFFFFF"/>
            <w:vAlign w:val="bottom"/>
          </w:tcPr>
          <w:p w14:paraId="42B1D603" w14:textId="77777777" w:rsidR="006070FD" w:rsidRPr="00B5277D" w:rsidRDefault="006070FD" w:rsidP="006070FD">
            <w:pPr>
              <w:jc w:val="center"/>
              <w:rPr>
                <w:rFonts w:eastAsia="Calibri"/>
                <w:bCs/>
                <w:szCs w:val="22"/>
                <w:lang w:val="en-PH"/>
              </w:rPr>
            </w:pPr>
            <w:r w:rsidRPr="00B5277D">
              <w:rPr>
                <w:rFonts w:eastAsia="Calibri"/>
                <w:szCs w:val="22"/>
                <w:lang w:val="en-PH"/>
              </w:rPr>
              <w:t>32.71</w:t>
            </w:r>
          </w:p>
        </w:tc>
        <w:tc>
          <w:tcPr>
            <w:tcW w:w="1672" w:type="dxa"/>
            <w:tcBorders>
              <w:top w:val="nil"/>
              <w:left w:val="nil"/>
              <w:bottom w:val="single" w:sz="4" w:space="0" w:color="auto"/>
              <w:right w:val="single" w:sz="4" w:space="0" w:color="auto"/>
            </w:tcBorders>
            <w:shd w:val="clear" w:color="auto" w:fill="FFFFFF"/>
            <w:vAlign w:val="bottom"/>
          </w:tcPr>
          <w:p w14:paraId="3B6C1904" w14:textId="77777777" w:rsidR="006070FD" w:rsidRPr="00B5277D" w:rsidRDefault="006070FD" w:rsidP="006070FD">
            <w:pPr>
              <w:jc w:val="center"/>
              <w:rPr>
                <w:rFonts w:eastAsia="Calibri"/>
                <w:bCs/>
                <w:szCs w:val="22"/>
                <w:lang w:val="en-PH"/>
              </w:rPr>
            </w:pPr>
            <w:r w:rsidRPr="00B5277D">
              <w:rPr>
                <w:rFonts w:eastAsia="Calibri"/>
                <w:szCs w:val="22"/>
                <w:lang w:val="en-PH"/>
              </w:rPr>
              <w:t>Rejected</w:t>
            </w:r>
          </w:p>
        </w:tc>
        <w:tc>
          <w:tcPr>
            <w:tcW w:w="938" w:type="dxa"/>
            <w:tcBorders>
              <w:top w:val="nil"/>
              <w:left w:val="nil"/>
              <w:bottom w:val="single" w:sz="4" w:space="0" w:color="auto"/>
              <w:right w:val="single" w:sz="8" w:space="0" w:color="auto"/>
            </w:tcBorders>
            <w:shd w:val="clear" w:color="auto" w:fill="FFFFFF"/>
            <w:vAlign w:val="bottom"/>
          </w:tcPr>
          <w:p w14:paraId="3D0885D2" w14:textId="77777777" w:rsidR="006070FD" w:rsidRPr="00B5277D" w:rsidRDefault="006070FD" w:rsidP="006070FD">
            <w:pPr>
              <w:jc w:val="center"/>
              <w:rPr>
                <w:rFonts w:eastAsia="Calibri"/>
                <w:bCs/>
                <w:szCs w:val="22"/>
                <w:lang w:val="en-PH"/>
              </w:rPr>
            </w:pPr>
            <w:r w:rsidRPr="00B5277D">
              <w:rPr>
                <w:rFonts w:eastAsia="Calibri"/>
                <w:szCs w:val="22"/>
                <w:lang w:val="en-PH"/>
              </w:rPr>
              <w:t>S</w:t>
            </w:r>
          </w:p>
        </w:tc>
      </w:tr>
      <w:tr w:rsidR="006070FD" w:rsidRPr="00B5277D" w14:paraId="7C79865F" w14:textId="77777777" w:rsidTr="00B5277D">
        <w:tc>
          <w:tcPr>
            <w:tcW w:w="4522" w:type="dxa"/>
            <w:shd w:val="clear" w:color="auto" w:fill="FFFFFF"/>
          </w:tcPr>
          <w:p w14:paraId="7E08485D" w14:textId="77777777" w:rsidR="006070FD" w:rsidRPr="00B5277D" w:rsidRDefault="006070FD" w:rsidP="006070FD">
            <w:pPr>
              <w:rPr>
                <w:rFonts w:eastAsia="Calibri"/>
                <w:bCs/>
                <w:szCs w:val="22"/>
                <w:lang w:val="en-PH"/>
              </w:rPr>
            </w:pPr>
            <w:r w:rsidRPr="00B5277D">
              <w:rPr>
                <w:rFonts w:eastAsia="Calibri"/>
                <w:bCs/>
                <w:szCs w:val="22"/>
                <w:lang w:val="en-PH"/>
              </w:rPr>
              <w:t>Position</w:t>
            </w:r>
          </w:p>
        </w:tc>
        <w:tc>
          <w:tcPr>
            <w:tcW w:w="974" w:type="dxa"/>
            <w:tcBorders>
              <w:top w:val="nil"/>
              <w:left w:val="single" w:sz="4" w:space="0" w:color="auto"/>
              <w:bottom w:val="single" w:sz="4" w:space="0" w:color="auto"/>
              <w:right w:val="single" w:sz="4" w:space="0" w:color="auto"/>
            </w:tcBorders>
            <w:shd w:val="clear" w:color="auto" w:fill="FFFFFF"/>
            <w:vAlign w:val="bottom"/>
          </w:tcPr>
          <w:p w14:paraId="1ECD2660" w14:textId="77777777" w:rsidR="006070FD" w:rsidRPr="00B5277D" w:rsidRDefault="006070FD" w:rsidP="006070FD">
            <w:pPr>
              <w:jc w:val="center"/>
              <w:rPr>
                <w:rFonts w:eastAsia="Calibri"/>
                <w:bCs/>
                <w:szCs w:val="22"/>
                <w:lang w:val="en-PH"/>
              </w:rPr>
            </w:pPr>
            <w:r w:rsidRPr="00B5277D">
              <w:rPr>
                <w:rFonts w:eastAsia="Calibri"/>
                <w:szCs w:val="22"/>
                <w:lang w:val="en-PH"/>
              </w:rPr>
              <w:t>0.0018</w:t>
            </w:r>
          </w:p>
        </w:tc>
        <w:tc>
          <w:tcPr>
            <w:tcW w:w="1249" w:type="dxa"/>
            <w:tcBorders>
              <w:top w:val="nil"/>
              <w:left w:val="nil"/>
              <w:bottom w:val="single" w:sz="4" w:space="0" w:color="auto"/>
              <w:right w:val="single" w:sz="4" w:space="0" w:color="auto"/>
            </w:tcBorders>
            <w:shd w:val="clear" w:color="auto" w:fill="FFFFFF"/>
            <w:vAlign w:val="bottom"/>
          </w:tcPr>
          <w:p w14:paraId="3F45FDD4" w14:textId="77777777" w:rsidR="006070FD" w:rsidRPr="00B5277D" w:rsidRDefault="006070FD" w:rsidP="006070FD">
            <w:pPr>
              <w:jc w:val="center"/>
              <w:rPr>
                <w:rFonts w:eastAsia="Calibri"/>
                <w:bCs/>
                <w:szCs w:val="22"/>
                <w:lang w:val="en-PH"/>
              </w:rPr>
            </w:pPr>
            <w:r w:rsidRPr="00B5277D">
              <w:rPr>
                <w:rFonts w:eastAsia="Calibri"/>
                <w:szCs w:val="22"/>
                <w:lang w:val="en-PH"/>
              </w:rPr>
              <w:t>4.25</w:t>
            </w:r>
          </w:p>
        </w:tc>
        <w:tc>
          <w:tcPr>
            <w:tcW w:w="1672" w:type="dxa"/>
            <w:tcBorders>
              <w:top w:val="nil"/>
              <w:left w:val="nil"/>
              <w:bottom w:val="single" w:sz="4" w:space="0" w:color="auto"/>
              <w:right w:val="single" w:sz="4" w:space="0" w:color="auto"/>
            </w:tcBorders>
            <w:shd w:val="clear" w:color="auto" w:fill="FFFFFF"/>
            <w:vAlign w:val="bottom"/>
          </w:tcPr>
          <w:p w14:paraId="7B277665" w14:textId="77777777" w:rsidR="006070FD" w:rsidRPr="00B5277D" w:rsidRDefault="006070FD" w:rsidP="006070FD">
            <w:pPr>
              <w:jc w:val="center"/>
              <w:rPr>
                <w:rFonts w:eastAsia="Calibri"/>
                <w:bCs/>
                <w:szCs w:val="22"/>
                <w:lang w:val="en-PH"/>
              </w:rPr>
            </w:pPr>
            <w:r w:rsidRPr="00B5277D">
              <w:rPr>
                <w:rFonts w:eastAsia="Calibri"/>
                <w:szCs w:val="22"/>
                <w:lang w:val="en-PH"/>
              </w:rPr>
              <w:t>Rejected</w:t>
            </w:r>
          </w:p>
        </w:tc>
        <w:tc>
          <w:tcPr>
            <w:tcW w:w="938" w:type="dxa"/>
            <w:tcBorders>
              <w:top w:val="nil"/>
              <w:left w:val="nil"/>
              <w:bottom w:val="single" w:sz="4" w:space="0" w:color="auto"/>
              <w:right w:val="single" w:sz="8" w:space="0" w:color="auto"/>
            </w:tcBorders>
            <w:shd w:val="clear" w:color="auto" w:fill="FFFFFF"/>
            <w:vAlign w:val="bottom"/>
          </w:tcPr>
          <w:p w14:paraId="33F5EC5D" w14:textId="77777777" w:rsidR="006070FD" w:rsidRPr="00B5277D" w:rsidRDefault="006070FD" w:rsidP="006070FD">
            <w:pPr>
              <w:jc w:val="center"/>
              <w:rPr>
                <w:rFonts w:eastAsia="Calibri"/>
                <w:bCs/>
                <w:szCs w:val="22"/>
                <w:lang w:val="en-PH"/>
              </w:rPr>
            </w:pPr>
            <w:r w:rsidRPr="00B5277D">
              <w:rPr>
                <w:rFonts w:eastAsia="Calibri"/>
                <w:szCs w:val="22"/>
                <w:lang w:val="en-PH"/>
              </w:rPr>
              <w:t>S</w:t>
            </w:r>
          </w:p>
        </w:tc>
      </w:tr>
      <w:tr w:rsidR="006070FD" w:rsidRPr="00B5277D" w14:paraId="4B357649" w14:textId="77777777" w:rsidTr="00B5277D">
        <w:tc>
          <w:tcPr>
            <w:tcW w:w="4522" w:type="dxa"/>
            <w:shd w:val="clear" w:color="auto" w:fill="FFFFFF"/>
          </w:tcPr>
          <w:p w14:paraId="5D24DB81" w14:textId="77777777" w:rsidR="006070FD" w:rsidRPr="00B5277D" w:rsidRDefault="006070FD" w:rsidP="006070FD">
            <w:pPr>
              <w:rPr>
                <w:rFonts w:eastAsia="Calibri"/>
                <w:bCs/>
                <w:szCs w:val="22"/>
                <w:lang w:val="en-PH"/>
              </w:rPr>
            </w:pPr>
            <w:r w:rsidRPr="00B5277D">
              <w:rPr>
                <w:rFonts w:eastAsia="Calibri"/>
                <w:bCs/>
                <w:szCs w:val="22"/>
                <w:lang w:val="en-PH"/>
              </w:rPr>
              <w:t>GFPS Committee</w:t>
            </w:r>
          </w:p>
        </w:tc>
        <w:tc>
          <w:tcPr>
            <w:tcW w:w="974" w:type="dxa"/>
            <w:tcBorders>
              <w:top w:val="nil"/>
              <w:left w:val="single" w:sz="4" w:space="0" w:color="auto"/>
              <w:bottom w:val="single" w:sz="4" w:space="0" w:color="auto"/>
              <w:right w:val="single" w:sz="4" w:space="0" w:color="auto"/>
            </w:tcBorders>
            <w:shd w:val="clear" w:color="auto" w:fill="FFFFFF"/>
            <w:vAlign w:val="bottom"/>
          </w:tcPr>
          <w:p w14:paraId="6A05BA67" w14:textId="77777777" w:rsidR="006070FD" w:rsidRPr="00B5277D" w:rsidRDefault="006070FD" w:rsidP="006070FD">
            <w:pPr>
              <w:jc w:val="center"/>
              <w:rPr>
                <w:rFonts w:eastAsia="Calibri"/>
                <w:bCs/>
                <w:szCs w:val="22"/>
                <w:lang w:val="en-PH"/>
              </w:rPr>
            </w:pPr>
            <w:r w:rsidRPr="00B5277D">
              <w:rPr>
                <w:rFonts w:eastAsia="Calibri"/>
                <w:szCs w:val="22"/>
                <w:lang w:val="en-PH"/>
              </w:rPr>
              <w:t>0.0134</w:t>
            </w:r>
          </w:p>
        </w:tc>
        <w:tc>
          <w:tcPr>
            <w:tcW w:w="1249" w:type="dxa"/>
            <w:tcBorders>
              <w:top w:val="nil"/>
              <w:left w:val="nil"/>
              <w:bottom w:val="single" w:sz="4" w:space="0" w:color="auto"/>
              <w:right w:val="single" w:sz="4" w:space="0" w:color="auto"/>
            </w:tcBorders>
            <w:shd w:val="clear" w:color="auto" w:fill="FFFFFF"/>
            <w:vAlign w:val="bottom"/>
          </w:tcPr>
          <w:p w14:paraId="78CCF9C0" w14:textId="77777777" w:rsidR="006070FD" w:rsidRPr="00B5277D" w:rsidRDefault="006070FD" w:rsidP="006070FD">
            <w:pPr>
              <w:jc w:val="center"/>
              <w:rPr>
                <w:rFonts w:eastAsia="Calibri"/>
                <w:bCs/>
                <w:szCs w:val="22"/>
                <w:lang w:val="en-PH"/>
              </w:rPr>
            </w:pPr>
            <w:r w:rsidRPr="00B5277D">
              <w:rPr>
                <w:rFonts w:eastAsia="Calibri"/>
                <w:szCs w:val="22"/>
                <w:lang w:val="en-PH"/>
              </w:rPr>
              <w:t>4.38</w:t>
            </w:r>
          </w:p>
        </w:tc>
        <w:tc>
          <w:tcPr>
            <w:tcW w:w="1672" w:type="dxa"/>
            <w:tcBorders>
              <w:top w:val="nil"/>
              <w:left w:val="nil"/>
              <w:bottom w:val="single" w:sz="4" w:space="0" w:color="auto"/>
              <w:right w:val="single" w:sz="4" w:space="0" w:color="auto"/>
            </w:tcBorders>
            <w:shd w:val="clear" w:color="auto" w:fill="FFFFFF"/>
            <w:vAlign w:val="bottom"/>
          </w:tcPr>
          <w:p w14:paraId="6A963003" w14:textId="77777777" w:rsidR="006070FD" w:rsidRPr="00B5277D" w:rsidRDefault="006070FD" w:rsidP="006070FD">
            <w:pPr>
              <w:jc w:val="center"/>
              <w:rPr>
                <w:rFonts w:eastAsia="Calibri"/>
                <w:bCs/>
                <w:szCs w:val="22"/>
                <w:lang w:val="en-PH"/>
              </w:rPr>
            </w:pPr>
            <w:r w:rsidRPr="00B5277D">
              <w:rPr>
                <w:rFonts w:eastAsia="Calibri"/>
                <w:szCs w:val="22"/>
                <w:lang w:val="en-PH"/>
              </w:rPr>
              <w:t>Rejected</w:t>
            </w:r>
          </w:p>
        </w:tc>
        <w:tc>
          <w:tcPr>
            <w:tcW w:w="938" w:type="dxa"/>
            <w:tcBorders>
              <w:top w:val="nil"/>
              <w:left w:val="nil"/>
              <w:bottom w:val="single" w:sz="4" w:space="0" w:color="auto"/>
              <w:right w:val="single" w:sz="8" w:space="0" w:color="auto"/>
            </w:tcBorders>
            <w:shd w:val="clear" w:color="auto" w:fill="FFFFFF"/>
            <w:vAlign w:val="bottom"/>
          </w:tcPr>
          <w:p w14:paraId="1EBCC745" w14:textId="77777777" w:rsidR="006070FD" w:rsidRPr="00B5277D" w:rsidRDefault="006070FD" w:rsidP="006070FD">
            <w:pPr>
              <w:jc w:val="center"/>
              <w:rPr>
                <w:rFonts w:eastAsia="Calibri"/>
                <w:bCs/>
                <w:szCs w:val="22"/>
                <w:lang w:val="en-PH"/>
              </w:rPr>
            </w:pPr>
            <w:r w:rsidRPr="00B5277D">
              <w:rPr>
                <w:rFonts w:eastAsia="Calibri"/>
                <w:szCs w:val="22"/>
                <w:lang w:val="en-PH"/>
              </w:rPr>
              <w:t>S</w:t>
            </w:r>
          </w:p>
        </w:tc>
      </w:tr>
      <w:tr w:rsidR="006070FD" w:rsidRPr="00B5277D" w14:paraId="292C5652" w14:textId="77777777" w:rsidTr="00B5277D">
        <w:tc>
          <w:tcPr>
            <w:tcW w:w="4522" w:type="dxa"/>
            <w:shd w:val="clear" w:color="auto" w:fill="FFFFFF"/>
          </w:tcPr>
          <w:p w14:paraId="5D07AEA7" w14:textId="77777777" w:rsidR="006070FD" w:rsidRPr="00B5277D" w:rsidRDefault="006070FD" w:rsidP="006070FD">
            <w:pPr>
              <w:rPr>
                <w:rFonts w:eastAsia="Calibri"/>
                <w:bCs/>
                <w:szCs w:val="22"/>
                <w:lang w:val="en-PH"/>
              </w:rPr>
            </w:pPr>
            <w:r w:rsidRPr="00B5277D">
              <w:rPr>
                <w:rFonts w:eastAsia="Calibri"/>
                <w:bCs/>
                <w:szCs w:val="22"/>
                <w:lang w:val="en-PH"/>
              </w:rPr>
              <w:t>Number of years a GFPS member</w:t>
            </w:r>
            <w:r w:rsidRPr="00B5277D">
              <w:rPr>
                <w:rFonts w:eastAsia="Calibri"/>
                <w:bCs/>
                <w:szCs w:val="22"/>
              </w:rPr>
              <w:t xml:space="preserve"> </w:t>
            </w:r>
            <w:r w:rsidRPr="00B5277D">
              <w:rPr>
                <w:rFonts w:eastAsia="Calibri"/>
                <w:bCs/>
                <w:szCs w:val="22"/>
                <w:lang w:val="en-PH"/>
              </w:rPr>
              <w:t>(regardless of designated position in the GFPS)</w:t>
            </w:r>
          </w:p>
        </w:tc>
        <w:tc>
          <w:tcPr>
            <w:tcW w:w="974" w:type="dxa"/>
            <w:tcBorders>
              <w:top w:val="nil"/>
              <w:left w:val="single" w:sz="4" w:space="0" w:color="auto"/>
              <w:bottom w:val="single" w:sz="4" w:space="0" w:color="auto"/>
              <w:right w:val="single" w:sz="4" w:space="0" w:color="auto"/>
            </w:tcBorders>
            <w:shd w:val="clear" w:color="auto" w:fill="FFFFFF"/>
            <w:vAlign w:val="center"/>
          </w:tcPr>
          <w:p w14:paraId="0AC4183C" w14:textId="77777777" w:rsidR="006070FD" w:rsidRPr="00B5277D" w:rsidRDefault="006070FD" w:rsidP="006070FD">
            <w:pPr>
              <w:jc w:val="center"/>
              <w:rPr>
                <w:rFonts w:eastAsia="Calibri"/>
                <w:bCs/>
                <w:szCs w:val="22"/>
                <w:lang w:val="en-PH"/>
              </w:rPr>
            </w:pPr>
            <w:r w:rsidRPr="00B5277D">
              <w:rPr>
                <w:rFonts w:eastAsia="Calibri"/>
                <w:szCs w:val="22"/>
                <w:lang w:val="en-PH"/>
              </w:rPr>
              <w:t>0.0153</w:t>
            </w:r>
          </w:p>
        </w:tc>
        <w:tc>
          <w:tcPr>
            <w:tcW w:w="1249" w:type="dxa"/>
            <w:tcBorders>
              <w:top w:val="nil"/>
              <w:left w:val="nil"/>
              <w:bottom w:val="single" w:sz="4" w:space="0" w:color="auto"/>
              <w:right w:val="single" w:sz="4" w:space="0" w:color="auto"/>
            </w:tcBorders>
            <w:shd w:val="clear" w:color="auto" w:fill="FFFFFF"/>
            <w:vAlign w:val="center"/>
          </w:tcPr>
          <w:p w14:paraId="1FE267ED" w14:textId="77777777" w:rsidR="006070FD" w:rsidRPr="00B5277D" w:rsidRDefault="006070FD" w:rsidP="006070FD">
            <w:pPr>
              <w:jc w:val="center"/>
              <w:rPr>
                <w:rFonts w:eastAsia="Calibri"/>
                <w:bCs/>
                <w:szCs w:val="22"/>
                <w:lang w:val="en-PH"/>
              </w:rPr>
            </w:pPr>
            <w:r w:rsidRPr="00B5277D">
              <w:rPr>
                <w:rFonts w:eastAsia="Calibri"/>
                <w:szCs w:val="22"/>
                <w:lang w:val="en-PH"/>
              </w:rPr>
              <w:t>3.31</w:t>
            </w:r>
          </w:p>
        </w:tc>
        <w:tc>
          <w:tcPr>
            <w:tcW w:w="1672" w:type="dxa"/>
            <w:tcBorders>
              <w:top w:val="nil"/>
              <w:left w:val="nil"/>
              <w:bottom w:val="single" w:sz="4" w:space="0" w:color="auto"/>
              <w:right w:val="single" w:sz="4" w:space="0" w:color="auto"/>
            </w:tcBorders>
            <w:shd w:val="clear" w:color="auto" w:fill="FFFFFF"/>
            <w:vAlign w:val="center"/>
          </w:tcPr>
          <w:p w14:paraId="4BB9B66E" w14:textId="77777777" w:rsidR="006070FD" w:rsidRPr="00B5277D" w:rsidRDefault="006070FD" w:rsidP="006070FD">
            <w:pPr>
              <w:jc w:val="center"/>
              <w:rPr>
                <w:rFonts w:eastAsia="Calibri"/>
                <w:bCs/>
                <w:szCs w:val="22"/>
                <w:lang w:val="en-PH"/>
              </w:rPr>
            </w:pPr>
            <w:r w:rsidRPr="00B5277D">
              <w:rPr>
                <w:rFonts w:eastAsia="Calibri"/>
                <w:szCs w:val="22"/>
                <w:lang w:val="en-PH"/>
              </w:rPr>
              <w:t>Rejected</w:t>
            </w:r>
          </w:p>
        </w:tc>
        <w:tc>
          <w:tcPr>
            <w:tcW w:w="938" w:type="dxa"/>
            <w:tcBorders>
              <w:top w:val="nil"/>
              <w:left w:val="nil"/>
              <w:bottom w:val="single" w:sz="4" w:space="0" w:color="auto"/>
              <w:right w:val="single" w:sz="8" w:space="0" w:color="auto"/>
            </w:tcBorders>
            <w:shd w:val="clear" w:color="auto" w:fill="FFFFFF"/>
            <w:vAlign w:val="center"/>
          </w:tcPr>
          <w:p w14:paraId="2E9870CE" w14:textId="77777777" w:rsidR="006070FD" w:rsidRPr="00B5277D" w:rsidRDefault="006070FD" w:rsidP="006070FD">
            <w:pPr>
              <w:jc w:val="center"/>
              <w:rPr>
                <w:rFonts w:eastAsia="Calibri"/>
                <w:bCs/>
                <w:szCs w:val="22"/>
                <w:lang w:val="en-PH"/>
              </w:rPr>
            </w:pPr>
            <w:r w:rsidRPr="00B5277D">
              <w:rPr>
                <w:rFonts w:eastAsia="Calibri"/>
                <w:szCs w:val="22"/>
                <w:lang w:val="en-PH"/>
              </w:rPr>
              <w:t>S</w:t>
            </w:r>
          </w:p>
        </w:tc>
      </w:tr>
      <w:tr w:rsidR="006070FD" w:rsidRPr="00B5277D" w14:paraId="393AEB4D" w14:textId="77777777" w:rsidTr="00B5277D">
        <w:tc>
          <w:tcPr>
            <w:tcW w:w="4522" w:type="dxa"/>
            <w:shd w:val="clear" w:color="auto" w:fill="FFFFFF"/>
          </w:tcPr>
          <w:p w14:paraId="24F84635" w14:textId="77777777" w:rsidR="006070FD" w:rsidRPr="00B5277D" w:rsidRDefault="006070FD" w:rsidP="006070FD">
            <w:pPr>
              <w:rPr>
                <w:rFonts w:eastAsia="Calibri"/>
                <w:bCs/>
                <w:szCs w:val="22"/>
                <w:lang w:val="en-PH"/>
              </w:rPr>
            </w:pPr>
            <w:r w:rsidRPr="00B5277D">
              <w:rPr>
                <w:rFonts w:eastAsia="Calibri"/>
                <w:bCs/>
                <w:szCs w:val="22"/>
                <w:lang w:val="en-PH"/>
              </w:rPr>
              <w:t>Campus</w:t>
            </w:r>
          </w:p>
        </w:tc>
        <w:tc>
          <w:tcPr>
            <w:tcW w:w="974" w:type="dxa"/>
            <w:tcBorders>
              <w:top w:val="nil"/>
              <w:left w:val="single" w:sz="4" w:space="0" w:color="auto"/>
              <w:bottom w:val="single" w:sz="4" w:space="0" w:color="auto"/>
              <w:right w:val="single" w:sz="4" w:space="0" w:color="auto"/>
            </w:tcBorders>
            <w:shd w:val="clear" w:color="auto" w:fill="FFFFFF"/>
            <w:vAlign w:val="bottom"/>
          </w:tcPr>
          <w:p w14:paraId="63AA1E7E" w14:textId="77777777" w:rsidR="006070FD" w:rsidRPr="00B5277D" w:rsidRDefault="006070FD" w:rsidP="006070FD">
            <w:pPr>
              <w:jc w:val="center"/>
              <w:rPr>
                <w:rFonts w:eastAsia="Calibri"/>
                <w:bCs/>
                <w:szCs w:val="22"/>
                <w:lang w:val="en-PH"/>
              </w:rPr>
            </w:pPr>
            <w:r w:rsidRPr="00B5277D">
              <w:rPr>
                <w:rFonts w:eastAsia="Calibri"/>
                <w:szCs w:val="22"/>
                <w:lang w:val="en-PH"/>
              </w:rPr>
              <w:t>0.00002</w:t>
            </w:r>
          </w:p>
        </w:tc>
        <w:tc>
          <w:tcPr>
            <w:tcW w:w="1249" w:type="dxa"/>
            <w:tcBorders>
              <w:top w:val="nil"/>
              <w:left w:val="nil"/>
              <w:bottom w:val="single" w:sz="4" w:space="0" w:color="auto"/>
              <w:right w:val="single" w:sz="4" w:space="0" w:color="auto"/>
            </w:tcBorders>
            <w:shd w:val="clear" w:color="auto" w:fill="FFFFFF"/>
            <w:vAlign w:val="bottom"/>
          </w:tcPr>
          <w:p w14:paraId="1060AD4E" w14:textId="77777777" w:rsidR="006070FD" w:rsidRPr="00B5277D" w:rsidRDefault="006070FD" w:rsidP="006070FD">
            <w:pPr>
              <w:jc w:val="center"/>
              <w:rPr>
                <w:rFonts w:eastAsia="Calibri"/>
                <w:bCs/>
                <w:szCs w:val="22"/>
                <w:lang w:val="en-PH"/>
              </w:rPr>
            </w:pPr>
            <w:r w:rsidRPr="00B5277D">
              <w:rPr>
                <w:rFonts w:eastAsia="Calibri"/>
                <w:szCs w:val="22"/>
                <w:lang w:val="en-PH"/>
              </w:rPr>
              <w:t>18.74</w:t>
            </w:r>
          </w:p>
        </w:tc>
        <w:tc>
          <w:tcPr>
            <w:tcW w:w="1672" w:type="dxa"/>
            <w:tcBorders>
              <w:top w:val="nil"/>
              <w:left w:val="nil"/>
              <w:bottom w:val="single" w:sz="4" w:space="0" w:color="auto"/>
              <w:right w:val="single" w:sz="4" w:space="0" w:color="auto"/>
            </w:tcBorders>
            <w:shd w:val="clear" w:color="auto" w:fill="FFFFFF"/>
            <w:vAlign w:val="bottom"/>
          </w:tcPr>
          <w:p w14:paraId="67E54188" w14:textId="77777777" w:rsidR="006070FD" w:rsidRPr="00B5277D" w:rsidRDefault="006070FD" w:rsidP="006070FD">
            <w:pPr>
              <w:jc w:val="center"/>
              <w:rPr>
                <w:rFonts w:eastAsia="Calibri"/>
                <w:bCs/>
                <w:szCs w:val="22"/>
                <w:lang w:val="en-PH"/>
              </w:rPr>
            </w:pPr>
            <w:r w:rsidRPr="00B5277D">
              <w:rPr>
                <w:rFonts w:eastAsia="Calibri"/>
                <w:szCs w:val="22"/>
                <w:lang w:val="en-PH"/>
              </w:rPr>
              <w:t>Rejected</w:t>
            </w:r>
          </w:p>
        </w:tc>
        <w:tc>
          <w:tcPr>
            <w:tcW w:w="938" w:type="dxa"/>
            <w:tcBorders>
              <w:top w:val="nil"/>
              <w:left w:val="nil"/>
              <w:bottom w:val="single" w:sz="4" w:space="0" w:color="auto"/>
              <w:right w:val="single" w:sz="8" w:space="0" w:color="auto"/>
            </w:tcBorders>
            <w:shd w:val="clear" w:color="auto" w:fill="FFFFFF"/>
            <w:vAlign w:val="bottom"/>
          </w:tcPr>
          <w:p w14:paraId="610FE116" w14:textId="77777777" w:rsidR="006070FD" w:rsidRPr="00B5277D" w:rsidRDefault="006070FD" w:rsidP="006070FD">
            <w:pPr>
              <w:jc w:val="center"/>
              <w:rPr>
                <w:rFonts w:eastAsia="Calibri"/>
                <w:bCs/>
                <w:szCs w:val="22"/>
                <w:lang w:val="en-PH"/>
              </w:rPr>
            </w:pPr>
            <w:r w:rsidRPr="00B5277D">
              <w:rPr>
                <w:rFonts w:eastAsia="Calibri"/>
                <w:szCs w:val="22"/>
                <w:lang w:val="en-PH"/>
              </w:rPr>
              <w:t>S</w:t>
            </w:r>
          </w:p>
        </w:tc>
      </w:tr>
      <w:tr w:rsidR="006070FD" w:rsidRPr="00B5277D" w14:paraId="5187A4C2" w14:textId="77777777" w:rsidTr="00B5277D">
        <w:tc>
          <w:tcPr>
            <w:tcW w:w="9355" w:type="dxa"/>
            <w:gridSpan w:val="5"/>
            <w:shd w:val="clear" w:color="auto" w:fill="FFFFFF"/>
          </w:tcPr>
          <w:p w14:paraId="2461A870" w14:textId="77777777" w:rsidR="006070FD" w:rsidRPr="00B5277D" w:rsidRDefault="006070FD" w:rsidP="006070FD">
            <w:pPr>
              <w:jc w:val="both"/>
              <w:rPr>
                <w:rFonts w:eastAsia="Calibri"/>
                <w:szCs w:val="22"/>
                <w:lang w:val="en-PH"/>
              </w:rPr>
            </w:pPr>
            <w:r w:rsidRPr="00B5277D">
              <w:rPr>
                <w:rFonts w:eastAsia="Calibri"/>
                <w:szCs w:val="22"/>
                <w:lang w:val="en-PH"/>
              </w:rPr>
              <w:t>GAD Mandates</w:t>
            </w:r>
          </w:p>
        </w:tc>
      </w:tr>
      <w:tr w:rsidR="006070FD" w:rsidRPr="00B5277D" w14:paraId="0385938A" w14:textId="77777777" w:rsidTr="00B5277D">
        <w:tc>
          <w:tcPr>
            <w:tcW w:w="4522" w:type="dxa"/>
            <w:shd w:val="clear" w:color="auto" w:fill="FFFFFF"/>
          </w:tcPr>
          <w:p w14:paraId="5BC878AC" w14:textId="77777777" w:rsidR="006070FD" w:rsidRPr="00B5277D" w:rsidRDefault="006070FD" w:rsidP="006070FD">
            <w:pPr>
              <w:rPr>
                <w:rFonts w:eastAsia="Calibri"/>
                <w:bCs/>
                <w:szCs w:val="22"/>
                <w:lang w:val="en-PH"/>
              </w:rPr>
            </w:pPr>
            <w:r w:rsidRPr="00B5277D">
              <w:rPr>
                <w:rFonts w:eastAsia="Calibri"/>
                <w:bCs/>
                <w:szCs w:val="22"/>
                <w:lang w:val="en-PH"/>
              </w:rPr>
              <w:t>Sex</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bottom"/>
          </w:tcPr>
          <w:p w14:paraId="34CA424A" w14:textId="77777777" w:rsidR="006070FD" w:rsidRPr="00B5277D" w:rsidRDefault="006070FD" w:rsidP="006070FD">
            <w:pPr>
              <w:jc w:val="center"/>
              <w:rPr>
                <w:rFonts w:eastAsia="Calibri"/>
                <w:bCs/>
                <w:szCs w:val="22"/>
                <w:lang w:val="en-PH"/>
              </w:rPr>
            </w:pPr>
            <w:r w:rsidRPr="00B5277D">
              <w:rPr>
                <w:rFonts w:eastAsia="Calibri"/>
                <w:szCs w:val="22"/>
                <w:lang w:val="en-PH"/>
              </w:rPr>
              <w:t>0.001</w:t>
            </w:r>
          </w:p>
        </w:tc>
        <w:tc>
          <w:tcPr>
            <w:tcW w:w="1249" w:type="dxa"/>
            <w:tcBorders>
              <w:top w:val="single" w:sz="4" w:space="0" w:color="auto"/>
              <w:left w:val="nil"/>
              <w:bottom w:val="single" w:sz="4" w:space="0" w:color="auto"/>
              <w:right w:val="single" w:sz="4" w:space="0" w:color="auto"/>
            </w:tcBorders>
            <w:shd w:val="clear" w:color="auto" w:fill="FFFFFF"/>
            <w:vAlign w:val="bottom"/>
          </w:tcPr>
          <w:p w14:paraId="4E5DE8A0" w14:textId="77777777" w:rsidR="006070FD" w:rsidRPr="00B5277D" w:rsidRDefault="006070FD" w:rsidP="006070FD">
            <w:pPr>
              <w:jc w:val="center"/>
              <w:rPr>
                <w:rFonts w:eastAsia="Calibri"/>
                <w:bCs/>
                <w:szCs w:val="22"/>
                <w:lang w:val="en-PH"/>
              </w:rPr>
            </w:pPr>
            <w:r w:rsidRPr="00B5277D">
              <w:rPr>
                <w:rFonts w:eastAsia="Calibri"/>
                <w:szCs w:val="22"/>
                <w:lang w:val="en-PH"/>
              </w:rPr>
              <w:t>4.56</w:t>
            </w:r>
          </w:p>
        </w:tc>
        <w:tc>
          <w:tcPr>
            <w:tcW w:w="1672" w:type="dxa"/>
            <w:tcBorders>
              <w:top w:val="single" w:sz="4" w:space="0" w:color="auto"/>
              <w:left w:val="nil"/>
              <w:bottom w:val="single" w:sz="4" w:space="0" w:color="auto"/>
              <w:right w:val="single" w:sz="4" w:space="0" w:color="auto"/>
            </w:tcBorders>
            <w:shd w:val="clear" w:color="auto" w:fill="FFFFFF"/>
            <w:vAlign w:val="bottom"/>
          </w:tcPr>
          <w:p w14:paraId="03B21081" w14:textId="77777777" w:rsidR="006070FD" w:rsidRPr="00B5277D" w:rsidRDefault="006070FD" w:rsidP="006070FD">
            <w:pPr>
              <w:jc w:val="center"/>
              <w:rPr>
                <w:rFonts w:eastAsia="Calibri"/>
                <w:bCs/>
                <w:szCs w:val="22"/>
                <w:lang w:val="en-PH"/>
              </w:rPr>
            </w:pPr>
            <w:r w:rsidRPr="00B5277D">
              <w:rPr>
                <w:rFonts w:eastAsia="Calibri"/>
                <w:szCs w:val="22"/>
                <w:lang w:val="en-PH"/>
              </w:rPr>
              <w:t>Rejected</w:t>
            </w:r>
          </w:p>
        </w:tc>
        <w:tc>
          <w:tcPr>
            <w:tcW w:w="938" w:type="dxa"/>
            <w:tcBorders>
              <w:top w:val="single" w:sz="4" w:space="0" w:color="auto"/>
              <w:left w:val="nil"/>
              <w:bottom w:val="single" w:sz="4" w:space="0" w:color="auto"/>
              <w:right w:val="single" w:sz="8" w:space="0" w:color="auto"/>
            </w:tcBorders>
            <w:shd w:val="clear" w:color="auto" w:fill="FFFFFF"/>
            <w:vAlign w:val="bottom"/>
          </w:tcPr>
          <w:p w14:paraId="612FD830" w14:textId="77777777" w:rsidR="006070FD" w:rsidRPr="00B5277D" w:rsidRDefault="006070FD" w:rsidP="006070FD">
            <w:pPr>
              <w:jc w:val="center"/>
              <w:rPr>
                <w:rFonts w:eastAsia="Calibri"/>
                <w:bCs/>
                <w:szCs w:val="22"/>
                <w:lang w:val="en-PH"/>
              </w:rPr>
            </w:pPr>
            <w:r w:rsidRPr="00B5277D">
              <w:rPr>
                <w:rFonts w:eastAsia="Calibri"/>
                <w:szCs w:val="22"/>
                <w:lang w:val="en-PH"/>
              </w:rPr>
              <w:t>S</w:t>
            </w:r>
          </w:p>
        </w:tc>
      </w:tr>
      <w:tr w:rsidR="006070FD" w:rsidRPr="00B5277D" w14:paraId="0946D597" w14:textId="77777777" w:rsidTr="00B5277D">
        <w:tc>
          <w:tcPr>
            <w:tcW w:w="4522" w:type="dxa"/>
            <w:shd w:val="clear" w:color="auto" w:fill="FFFFFF"/>
          </w:tcPr>
          <w:p w14:paraId="3679D067" w14:textId="77777777" w:rsidR="006070FD" w:rsidRPr="00B5277D" w:rsidRDefault="006070FD" w:rsidP="006070FD">
            <w:pPr>
              <w:rPr>
                <w:rFonts w:eastAsia="Calibri"/>
                <w:bCs/>
                <w:szCs w:val="22"/>
                <w:lang w:val="en-PH"/>
              </w:rPr>
            </w:pPr>
            <w:r w:rsidRPr="00B5277D">
              <w:rPr>
                <w:rFonts w:eastAsia="Calibri"/>
                <w:bCs/>
                <w:szCs w:val="22"/>
                <w:lang w:val="en-PH"/>
              </w:rPr>
              <w:t>Age</w:t>
            </w:r>
          </w:p>
        </w:tc>
        <w:tc>
          <w:tcPr>
            <w:tcW w:w="974" w:type="dxa"/>
            <w:tcBorders>
              <w:top w:val="nil"/>
              <w:left w:val="single" w:sz="4" w:space="0" w:color="auto"/>
              <w:bottom w:val="single" w:sz="4" w:space="0" w:color="auto"/>
              <w:right w:val="single" w:sz="4" w:space="0" w:color="auto"/>
            </w:tcBorders>
            <w:shd w:val="clear" w:color="auto" w:fill="FFFFFF"/>
            <w:vAlign w:val="bottom"/>
          </w:tcPr>
          <w:p w14:paraId="7A3CCCE4" w14:textId="77777777" w:rsidR="006070FD" w:rsidRPr="00B5277D" w:rsidRDefault="006070FD" w:rsidP="006070FD">
            <w:pPr>
              <w:jc w:val="center"/>
              <w:rPr>
                <w:rFonts w:eastAsia="Calibri"/>
                <w:bCs/>
                <w:szCs w:val="22"/>
                <w:lang w:val="en-PH"/>
              </w:rPr>
            </w:pPr>
            <w:r w:rsidRPr="00B5277D">
              <w:rPr>
                <w:rFonts w:eastAsia="Calibri"/>
                <w:szCs w:val="22"/>
                <w:lang w:val="en-PH"/>
              </w:rPr>
              <w:t>0.0001</w:t>
            </w:r>
          </w:p>
        </w:tc>
        <w:tc>
          <w:tcPr>
            <w:tcW w:w="1249" w:type="dxa"/>
            <w:tcBorders>
              <w:top w:val="nil"/>
              <w:left w:val="nil"/>
              <w:bottom w:val="single" w:sz="4" w:space="0" w:color="auto"/>
              <w:right w:val="single" w:sz="4" w:space="0" w:color="auto"/>
            </w:tcBorders>
            <w:shd w:val="clear" w:color="auto" w:fill="FFFFFF"/>
            <w:vAlign w:val="bottom"/>
          </w:tcPr>
          <w:p w14:paraId="098D3FFE" w14:textId="77777777" w:rsidR="006070FD" w:rsidRPr="00B5277D" w:rsidRDefault="006070FD" w:rsidP="006070FD">
            <w:pPr>
              <w:jc w:val="center"/>
              <w:rPr>
                <w:rFonts w:eastAsia="Calibri"/>
                <w:bCs/>
                <w:szCs w:val="22"/>
                <w:lang w:val="en-PH"/>
              </w:rPr>
            </w:pPr>
            <w:r w:rsidRPr="00B5277D">
              <w:rPr>
                <w:rFonts w:eastAsia="Calibri"/>
                <w:szCs w:val="22"/>
                <w:lang w:val="en-PH"/>
              </w:rPr>
              <w:t>3.41</w:t>
            </w:r>
          </w:p>
        </w:tc>
        <w:tc>
          <w:tcPr>
            <w:tcW w:w="1672" w:type="dxa"/>
            <w:tcBorders>
              <w:top w:val="nil"/>
              <w:left w:val="nil"/>
              <w:bottom w:val="single" w:sz="4" w:space="0" w:color="auto"/>
              <w:right w:val="single" w:sz="4" w:space="0" w:color="auto"/>
            </w:tcBorders>
            <w:shd w:val="clear" w:color="auto" w:fill="FFFFFF"/>
            <w:vAlign w:val="bottom"/>
          </w:tcPr>
          <w:p w14:paraId="0ADC9BD0" w14:textId="77777777" w:rsidR="006070FD" w:rsidRPr="00B5277D" w:rsidRDefault="006070FD" w:rsidP="006070FD">
            <w:pPr>
              <w:jc w:val="center"/>
              <w:rPr>
                <w:rFonts w:eastAsia="Calibri"/>
                <w:bCs/>
                <w:szCs w:val="22"/>
                <w:lang w:val="en-PH"/>
              </w:rPr>
            </w:pPr>
            <w:r w:rsidRPr="00B5277D">
              <w:rPr>
                <w:rFonts w:eastAsia="Calibri"/>
                <w:szCs w:val="22"/>
                <w:lang w:val="en-PH"/>
              </w:rPr>
              <w:t>Rejected</w:t>
            </w:r>
          </w:p>
        </w:tc>
        <w:tc>
          <w:tcPr>
            <w:tcW w:w="938" w:type="dxa"/>
            <w:tcBorders>
              <w:top w:val="nil"/>
              <w:left w:val="nil"/>
              <w:bottom w:val="single" w:sz="4" w:space="0" w:color="auto"/>
              <w:right w:val="single" w:sz="8" w:space="0" w:color="auto"/>
            </w:tcBorders>
            <w:shd w:val="clear" w:color="auto" w:fill="FFFFFF"/>
            <w:vAlign w:val="bottom"/>
          </w:tcPr>
          <w:p w14:paraId="4C52384E" w14:textId="77777777" w:rsidR="006070FD" w:rsidRPr="00B5277D" w:rsidRDefault="006070FD" w:rsidP="006070FD">
            <w:pPr>
              <w:jc w:val="center"/>
              <w:rPr>
                <w:rFonts w:eastAsia="Calibri"/>
                <w:bCs/>
                <w:szCs w:val="22"/>
                <w:lang w:val="en-PH"/>
              </w:rPr>
            </w:pPr>
            <w:r w:rsidRPr="00B5277D">
              <w:rPr>
                <w:rFonts w:eastAsia="Calibri"/>
                <w:szCs w:val="22"/>
                <w:lang w:val="en-PH"/>
              </w:rPr>
              <w:t>S</w:t>
            </w:r>
          </w:p>
        </w:tc>
      </w:tr>
      <w:tr w:rsidR="006070FD" w:rsidRPr="00B5277D" w14:paraId="4692E4F8" w14:textId="77777777" w:rsidTr="00B5277D">
        <w:tc>
          <w:tcPr>
            <w:tcW w:w="4522" w:type="dxa"/>
            <w:shd w:val="clear" w:color="auto" w:fill="FFFFFF"/>
          </w:tcPr>
          <w:p w14:paraId="7D7CBFBE" w14:textId="77777777" w:rsidR="006070FD" w:rsidRPr="00B5277D" w:rsidRDefault="006070FD" w:rsidP="006070FD">
            <w:pPr>
              <w:rPr>
                <w:rFonts w:eastAsia="Calibri"/>
                <w:bCs/>
                <w:szCs w:val="22"/>
                <w:lang w:val="en-PH"/>
              </w:rPr>
            </w:pPr>
            <w:r w:rsidRPr="00B5277D">
              <w:rPr>
                <w:rFonts w:eastAsia="Calibri"/>
                <w:bCs/>
                <w:szCs w:val="22"/>
                <w:lang w:val="en-PH"/>
              </w:rPr>
              <w:t>Educational Attainment</w:t>
            </w:r>
          </w:p>
        </w:tc>
        <w:tc>
          <w:tcPr>
            <w:tcW w:w="974" w:type="dxa"/>
            <w:tcBorders>
              <w:top w:val="nil"/>
              <w:left w:val="single" w:sz="4" w:space="0" w:color="auto"/>
              <w:bottom w:val="single" w:sz="4" w:space="0" w:color="auto"/>
              <w:right w:val="single" w:sz="4" w:space="0" w:color="auto"/>
            </w:tcBorders>
            <w:shd w:val="clear" w:color="auto" w:fill="FFFFFF"/>
            <w:vAlign w:val="bottom"/>
          </w:tcPr>
          <w:p w14:paraId="35D4DD93" w14:textId="77777777" w:rsidR="006070FD" w:rsidRPr="00B5277D" w:rsidRDefault="006070FD" w:rsidP="006070FD">
            <w:pPr>
              <w:jc w:val="center"/>
              <w:rPr>
                <w:rFonts w:eastAsia="Calibri"/>
                <w:bCs/>
                <w:szCs w:val="22"/>
                <w:lang w:val="en-PH"/>
              </w:rPr>
            </w:pPr>
            <w:r w:rsidRPr="00B5277D">
              <w:rPr>
                <w:rFonts w:eastAsia="Calibri"/>
                <w:szCs w:val="22"/>
                <w:lang w:val="en-PH"/>
              </w:rPr>
              <w:t>0.0001</w:t>
            </w:r>
          </w:p>
        </w:tc>
        <w:tc>
          <w:tcPr>
            <w:tcW w:w="1249" w:type="dxa"/>
            <w:tcBorders>
              <w:top w:val="nil"/>
              <w:left w:val="nil"/>
              <w:bottom w:val="single" w:sz="4" w:space="0" w:color="auto"/>
              <w:right w:val="single" w:sz="4" w:space="0" w:color="auto"/>
            </w:tcBorders>
            <w:shd w:val="clear" w:color="auto" w:fill="FFFFFF"/>
            <w:vAlign w:val="bottom"/>
          </w:tcPr>
          <w:p w14:paraId="42452C7D" w14:textId="77777777" w:rsidR="006070FD" w:rsidRPr="00B5277D" w:rsidRDefault="006070FD" w:rsidP="006070FD">
            <w:pPr>
              <w:jc w:val="center"/>
              <w:rPr>
                <w:rFonts w:eastAsia="Calibri"/>
                <w:bCs/>
                <w:szCs w:val="22"/>
                <w:lang w:val="en-PH"/>
              </w:rPr>
            </w:pPr>
            <w:r w:rsidRPr="00B5277D">
              <w:rPr>
                <w:rFonts w:eastAsia="Calibri"/>
                <w:szCs w:val="22"/>
                <w:lang w:val="en-PH"/>
              </w:rPr>
              <w:t>7.7614</w:t>
            </w:r>
          </w:p>
        </w:tc>
        <w:tc>
          <w:tcPr>
            <w:tcW w:w="1672" w:type="dxa"/>
            <w:tcBorders>
              <w:top w:val="nil"/>
              <w:left w:val="nil"/>
              <w:bottom w:val="single" w:sz="4" w:space="0" w:color="auto"/>
              <w:right w:val="single" w:sz="4" w:space="0" w:color="auto"/>
            </w:tcBorders>
            <w:shd w:val="clear" w:color="auto" w:fill="FFFFFF"/>
            <w:vAlign w:val="bottom"/>
          </w:tcPr>
          <w:p w14:paraId="72C89A50" w14:textId="77777777" w:rsidR="006070FD" w:rsidRPr="00B5277D" w:rsidRDefault="006070FD" w:rsidP="006070FD">
            <w:pPr>
              <w:jc w:val="center"/>
              <w:rPr>
                <w:rFonts w:eastAsia="Calibri"/>
                <w:bCs/>
                <w:szCs w:val="22"/>
                <w:lang w:val="en-PH"/>
              </w:rPr>
            </w:pPr>
            <w:r w:rsidRPr="00B5277D">
              <w:rPr>
                <w:rFonts w:eastAsia="Calibri"/>
                <w:szCs w:val="22"/>
                <w:lang w:val="en-PH"/>
              </w:rPr>
              <w:t>Rejected</w:t>
            </w:r>
          </w:p>
        </w:tc>
        <w:tc>
          <w:tcPr>
            <w:tcW w:w="938" w:type="dxa"/>
            <w:tcBorders>
              <w:top w:val="nil"/>
              <w:left w:val="nil"/>
              <w:bottom w:val="single" w:sz="4" w:space="0" w:color="auto"/>
              <w:right w:val="single" w:sz="8" w:space="0" w:color="auto"/>
            </w:tcBorders>
            <w:shd w:val="clear" w:color="auto" w:fill="FFFFFF"/>
            <w:vAlign w:val="bottom"/>
          </w:tcPr>
          <w:p w14:paraId="14D4E647" w14:textId="77777777" w:rsidR="006070FD" w:rsidRPr="00B5277D" w:rsidRDefault="006070FD" w:rsidP="006070FD">
            <w:pPr>
              <w:jc w:val="center"/>
              <w:rPr>
                <w:rFonts w:eastAsia="Calibri"/>
                <w:bCs/>
                <w:szCs w:val="22"/>
                <w:lang w:val="en-PH"/>
              </w:rPr>
            </w:pPr>
            <w:r w:rsidRPr="00B5277D">
              <w:rPr>
                <w:rFonts w:eastAsia="Calibri"/>
                <w:szCs w:val="22"/>
                <w:lang w:val="en-PH"/>
              </w:rPr>
              <w:t>S</w:t>
            </w:r>
          </w:p>
        </w:tc>
      </w:tr>
      <w:tr w:rsidR="006070FD" w:rsidRPr="00B5277D" w14:paraId="16F97B5F" w14:textId="77777777" w:rsidTr="00B5277D">
        <w:tc>
          <w:tcPr>
            <w:tcW w:w="4522" w:type="dxa"/>
            <w:shd w:val="clear" w:color="auto" w:fill="FFFFFF"/>
          </w:tcPr>
          <w:p w14:paraId="0C66DA42" w14:textId="77777777" w:rsidR="006070FD" w:rsidRPr="00B5277D" w:rsidRDefault="006070FD" w:rsidP="006070FD">
            <w:pPr>
              <w:rPr>
                <w:rFonts w:eastAsia="Calibri"/>
                <w:bCs/>
                <w:szCs w:val="22"/>
                <w:lang w:val="en-PH"/>
              </w:rPr>
            </w:pPr>
            <w:r w:rsidRPr="00B5277D">
              <w:rPr>
                <w:rFonts w:eastAsia="Calibri"/>
                <w:bCs/>
                <w:szCs w:val="22"/>
                <w:lang w:val="en-PH"/>
              </w:rPr>
              <w:t>Position</w:t>
            </w:r>
          </w:p>
        </w:tc>
        <w:tc>
          <w:tcPr>
            <w:tcW w:w="974" w:type="dxa"/>
            <w:tcBorders>
              <w:top w:val="nil"/>
              <w:left w:val="single" w:sz="4" w:space="0" w:color="auto"/>
              <w:bottom w:val="single" w:sz="4" w:space="0" w:color="auto"/>
              <w:right w:val="single" w:sz="4" w:space="0" w:color="auto"/>
            </w:tcBorders>
            <w:shd w:val="clear" w:color="auto" w:fill="FFFFFF"/>
            <w:vAlign w:val="bottom"/>
          </w:tcPr>
          <w:p w14:paraId="60CFD97C" w14:textId="77777777" w:rsidR="006070FD" w:rsidRPr="00B5277D" w:rsidRDefault="006070FD" w:rsidP="006070FD">
            <w:pPr>
              <w:jc w:val="center"/>
              <w:rPr>
                <w:rFonts w:eastAsia="Calibri"/>
                <w:bCs/>
                <w:szCs w:val="22"/>
                <w:lang w:val="en-PH"/>
              </w:rPr>
            </w:pPr>
            <w:r w:rsidRPr="00B5277D">
              <w:rPr>
                <w:rFonts w:eastAsia="Calibri"/>
                <w:szCs w:val="22"/>
                <w:lang w:val="en-PH"/>
              </w:rPr>
              <w:t>0.13</w:t>
            </w:r>
          </w:p>
        </w:tc>
        <w:tc>
          <w:tcPr>
            <w:tcW w:w="1249" w:type="dxa"/>
            <w:tcBorders>
              <w:top w:val="nil"/>
              <w:left w:val="nil"/>
              <w:bottom w:val="single" w:sz="4" w:space="0" w:color="auto"/>
              <w:right w:val="single" w:sz="4" w:space="0" w:color="auto"/>
            </w:tcBorders>
            <w:shd w:val="clear" w:color="auto" w:fill="FFFFFF"/>
            <w:vAlign w:val="bottom"/>
          </w:tcPr>
          <w:p w14:paraId="20D75D24" w14:textId="77777777" w:rsidR="006070FD" w:rsidRPr="00B5277D" w:rsidRDefault="006070FD" w:rsidP="006070FD">
            <w:pPr>
              <w:jc w:val="center"/>
              <w:rPr>
                <w:rFonts w:eastAsia="Calibri"/>
                <w:bCs/>
                <w:szCs w:val="22"/>
                <w:lang w:val="en-PH"/>
              </w:rPr>
            </w:pPr>
            <w:r w:rsidRPr="00B5277D">
              <w:rPr>
                <w:rFonts w:eastAsia="Calibri"/>
                <w:szCs w:val="22"/>
                <w:lang w:val="en-PH"/>
              </w:rPr>
              <w:t>1.34</w:t>
            </w:r>
          </w:p>
        </w:tc>
        <w:tc>
          <w:tcPr>
            <w:tcW w:w="1672" w:type="dxa"/>
            <w:tcBorders>
              <w:top w:val="nil"/>
              <w:left w:val="nil"/>
              <w:bottom w:val="single" w:sz="4" w:space="0" w:color="auto"/>
              <w:right w:val="single" w:sz="4" w:space="0" w:color="auto"/>
            </w:tcBorders>
            <w:shd w:val="clear" w:color="auto" w:fill="FFFFFF"/>
            <w:vAlign w:val="bottom"/>
          </w:tcPr>
          <w:p w14:paraId="011CE18F" w14:textId="77777777" w:rsidR="006070FD" w:rsidRPr="00B5277D" w:rsidRDefault="006070FD" w:rsidP="006070FD">
            <w:pPr>
              <w:jc w:val="center"/>
              <w:rPr>
                <w:rFonts w:eastAsia="Calibri"/>
                <w:bCs/>
                <w:szCs w:val="22"/>
                <w:lang w:val="en-PH"/>
              </w:rPr>
            </w:pPr>
            <w:r w:rsidRPr="00B5277D">
              <w:rPr>
                <w:rFonts w:eastAsia="Calibri"/>
                <w:szCs w:val="22"/>
                <w:lang w:val="en-PH"/>
              </w:rPr>
              <w:t>Failed to Reject</w:t>
            </w:r>
          </w:p>
        </w:tc>
        <w:tc>
          <w:tcPr>
            <w:tcW w:w="938" w:type="dxa"/>
            <w:tcBorders>
              <w:top w:val="nil"/>
              <w:left w:val="nil"/>
              <w:bottom w:val="single" w:sz="4" w:space="0" w:color="auto"/>
              <w:right w:val="single" w:sz="8" w:space="0" w:color="auto"/>
            </w:tcBorders>
            <w:shd w:val="clear" w:color="auto" w:fill="FFFFFF"/>
            <w:vAlign w:val="bottom"/>
          </w:tcPr>
          <w:p w14:paraId="4C05D642" w14:textId="77777777" w:rsidR="006070FD" w:rsidRPr="00B5277D" w:rsidRDefault="006070FD" w:rsidP="006070FD">
            <w:pPr>
              <w:jc w:val="center"/>
              <w:rPr>
                <w:rFonts w:eastAsia="Calibri"/>
                <w:bCs/>
                <w:szCs w:val="22"/>
                <w:lang w:val="en-PH"/>
              </w:rPr>
            </w:pPr>
            <w:r w:rsidRPr="00B5277D">
              <w:rPr>
                <w:rFonts w:eastAsia="Calibri"/>
                <w:szCs w:val="22"/>
                <w:lang w:val="en-PH"/>
              </w:rPr>
              <w:t>NS</w:t>
            </w:r>
          </w:p>
        </w:tc>
      </w:tr>
      <w:tr w:rsidR="006070FD" w:rsidRPr="00B5277D" w14:paraId="4F46D54E" w14:textId="77777777" w:rsidTr="00B5277D">
        <w:tc>
          <w:tcPr>
            <w:tcW w:w="4522" w:type="dxa"/>
            <w:shd w:val="clear" w:color="auto" w:fill="FFFFFF"/>
          </w:tcPr>
          <w:p w14:paraId="7BFE9ED6" w14:textId="77777777" w:rsidR="006070FD" w:rsidRPr="00B5277D" w:rsidRDefault="006070FD" w:rsidP="006070FD">
            <w:pPr>
              <w:rPr>
                <w:rFonts w:eastAsia="Calibri"/>
                <w:bCs/>
                <w:szCs w:val="22"/>
                <w:lang w:val="en-PH"/>
              </w:rPr>
            </w:pPr>
            <w:r w:rsidRPr="00B5277D">
              <w:rPr>
                <w:rFonts w:eastAsia="Calibri"/>
                <w:bCs/>
                <w:szCs w:val="22"/>
                <w:lang w:val="en-PH"/>
              </w:rPr>
              <w:t>GFPS Committee</w:t>
            </w:r>
          </w:p>
        </w:tc>
        <w:tc>
          <w:tcPr>
            <w:tcW w:w="974" w:type="dxa"/>
            <w:tcBorders>
              <w:top w:val="nil"/>
              <w:left w:val="single" w:sz="4" w:space="0" w:color="auto"/>
              <w:bottom w:val="single" w:sz="4" w:space="0" w:color="auto"/>
              <w:right w:val="single" w:sz="4" w:space="0" w:color="auto"/>
            </w:tcBorders>
            <w:shd w:val="clear" w:color="auto" w:fill="FFFFFF"/>
            <w:vAlign w:val="bottom"/>
          </w:tcPr>
          <w:p w14:paraId="722061D7" w14:textId="77777777" w:rsidR="006070FD" w:rsidRPr="00B5277D" w:rsidRDefault="006070FD" w:rsidP="006070FD">
            <w:pPr>
              <w:jc w:val="center"/>
              <w:rPr>
                <w:rFonts w:eastAsia="Calibri"/>
                <w:bCs/>
                <w:szCs w:val="22"/>
                <w:lang w:val="en-PH"/>
              </w:rPr>
            </w:pPr>
            <w:r w:rsidRPr="00B5277D">
              <w:rPr>
                <w:rFonts w:eastAsia="Calibri"/>
                <w:szCs w:val="22"/>
                <w:lang w:val="en-PH"/>
              </w:rPr>
              <w:t>0.0578</w:t>
            </w:r>
          </w:p>
        </w:tc>
        <w:tc>
          <w:tcPr>
            <w:tcW w:w="1249" w:type="dxa"/>
            <w:tcBorders>
              <w:top w:val="nil"/>
              <w:left w:val="nil"/>
              <w:bottom w:val="single" w:sz="4" w:space="0" w:color="auto"/>
              <w:right w:val="single" w:sz="4" w:space="0" w:color="auto"/>
            </w:tcBorders>
            <w:shd w:val="clear" w:color="auto" w:fill="FFFFFF"/>
            <w:vAlign w:val="bottom"/>
          </w:tcPr>
          <w:p w14:paraId="5F5656BC" w14:textId="77777777" w:rsidR="006070FD" w:rsidRPr="00B5277D" w:rsidRDefault="006070FD" w:rsidP="006070FD">
            <w:pPr>
              <w:jc w:val="center"/>
              <w:rPr>
                <w:rFonts w:eastAsia="Calibri"/>
                <w:bCs/>
                <w:szCs w:val="22"/>
                <w:lang w:val="en-PH"/>
              </w:rPr>
            </w:pPr>
            <w:r w:rsidRPr="00B5277D">
              <w:rPr>
                <w:rFonts w:eastAsia="Calibri"/>
                <w:szCs w:val="22"/>
                <w:lang w:val="en-PH"/>
              </w:rPr>
              <w:t>3.73</w:t>
            </w:r>
          </w:p>
        </w:tc>
        <w:tc>
          <w:tcPr>
            <w:tcW w:w="1672" w:type="dxa"/>
            <w:tcBorders>
              <w:top w:val="nil"/>
              <w:left w:val="nil"/>
              <w:bottom w:val="single" w:sz="4" w:space="0" w:color="auto"/>
              <w:right w:val="single" w:sz="4" w:space="0" w:color="auto"/>
            </w:tcBorders>
            <w:shd w:val="clear" w:color="auto" w:fill="FFFFFF"/>
            <w:vAlign w:val="bottom"/>
          </w:tcPr>
          <w:p w14:paraId="0E4A5E37" w14:textId="77777777" w:rsidR="006070FD" w:rsidRPr="00B5277D" w:rsidRDefault="006070FD" w:rsidP="006070FD">
            <w:pPr>
              <w:jc w:val="center"/>
              <w:rPr>
                <w:rFonts w:eastAsia="Calibri"/>
                <w:bCs/>
                <w:szCs w:val="22"/>
                <w:lang w:val="en-PH"/>
              </w:rPr>
            </w:pPr>
            <w:r w:rsidRPr="00B5277D">
              <w:rPr>
                <w:rFonts w:eastAsia="Calibri"/>
                <w:szCs w:val="22"/>
                <w:lang w:val="en-PH"/>
              </w:rPr>
              <w:t>Failed to Reject</w:t>
            </w:r>
          </w:p>
        </w:tc>
        <w:tc>
          <w:tcPr>
            <w:tcW w:w="938" w:type="dxa"/>
            <w:tcBorders>
              <w:top w:val="nil"/>
              <w:left w:val="nil"/>
              <w:bottom w:val="single" w:sz="4" w:space="0" w:color="auto"/>
              <w:right w:val="single" w:sz="8" w:space="0" w:color="auto"/>
            </w:tcBorders>
            <w:shd w:val="clear" w:color="auto" w:fill="FFFFFF"/>
            <w:vAlign w:val="bottom"/>
          </w:tcPr>
          <w:p w14:paraId="560D1761" w14:textId="77777777" w:rsidR="006070FD" w:rsidRPr="00B5277D" w:rsidRDefault="006070FD" w:rsidP="006070FD">
            <w:pPr>
              <w:jc w:val="center"/>
              <w:rPr>
                <w:rFonts w:eastAsia="Calibri"/>
                <w:bCs/>
                <w:szCs w:val="22"/>
                <w:lang w:val="en-PH"/>
              </w:rPr>
            </w:pPr>
            <w:r w:rsidRPr="00B5277D">
              <w:rPr>
                <w:rFonts w:eastAsia="Calibri"/>
                <w:szCs w:val="22"/>
                <w:lang w:val="en-PH"/>
              </w:rPr>
              <w:t>NS</w:t>
            </w:r>
          </w:p>
        </w:tc>
      </w:tr>
      <w:tr w:rsidR="006070FD" w:rsidRPr="00B5277D" w14:paraId="22FCD84A" w14:textId="77777777" w:rsidTr="00B5277D">
        <w:tc>
          <w:tcPr>
            <w:tcW w:w="4522" w:type="dxa"/>
            <w:shd w:val="clear" w:color="auto" w:fill="FFFFFF"/>
          </w:tcPr>
          <w:p w14:paraId="6B71EED8" w14:textId="77777777" w:rsidR="006070FD" w:rsidRPr="00B5277D" w:rsidRDefault="006070FD" w:rsidP="006070FD">
            <w:pPr>
              <w:rPr>
                <w:rFonts w:eastAsia="Calibri"/>
                <w:bCs/>
                <w:szCs w:val="22"/>
                <w:lang w:val="en-PH"/>
              </w:rPr>
            </w:pPr>
            <w:r w:rsidRPr="00B5277D">
              <w:rPr>
                <w:rFonts w:eastAsia="Calibri"/>
                <w:bCs/>
                <w:szCs w:val="22"/>
                <w:lang w:val="en-PH"/>
              </w:rPr>
              <w:t>Number of years a GFPS member</w:t>
            </w:r>
            <w:r w:rsidRPr="00B5277D">
              <w:rPr>
                <w:rFonts w:eastAsia="Calibri"/>
                <w:bCs/>
                <w:szCs w:val="22"/>
              </w:rPr>
              <w:t xml:space="preserve"> </w:t>
            </w:r>
            <w:r w:rsidRPr="00B5277D">
              <w:rPr>
                <w:rFonts w:eastAsia="Calibri"/>
                <w:bCs/>
                <w:szCs w:val="22"/>
                <w:lang w:val="en-PH"/>
              </w:rPr>
              <w:t>(regardless of designated position in the GFPS)</w:t>
            </w:r>
          </w:p>
        </w:tc>
        <w:tc>
          <w:tcPr>
            <w:tcW w:w="974" w:type="dxa"/>
            <w:tcBorders>
              <w:top w:val="nil"/>
              <w:left w:val="single" w:sz="4" w:space="0" w:color="auto"/>
              <w:bottom w:val="single" w:sz="4" w:space="0" w:color="auto"/>
              <w:right w:val="single" w:sz="4" w:space="0" w:color="auto"/>
            </w:tcBorders>
            <w:shd w:val="clear" w:color="auto" w:fill="FFFFFF"/>
            <w:vAlign w:val="center"/>
          </w:tcPr>
          <w:p w14:paraId="0CE4C8B0" w14:textId="77777777" w:rsidR="006070FD" w:rsidRPr="00B5277D" w:rsidRDefault="006070FD" w:rsidP="006070FD">
            <w:pPr>
              <w:jc w:val="center"/>
              <w:rPr>
                <w:rFonts w:eastAsia="Calibri"/>
                <w:bCs/>
                <w:szCs w:val="22"/>
                <w:lang w:val="en-PH"/>
              </w:rPr>
            </w:pPr>
            <w:r w:rsidRPr="00B5277D">
              <w:rPr>
                <w:rFonts w:eastAsia="Calibri"/>
                <w:szCs w:val="22"/>
                <w:lang w:val="en-PH"/>
              </w:rPr>
              <w:t>0.0001</w:t>
            </w:r>
          </w:p>
        </w:tc>
        <w:tc>
          <w:tcPr>
            <w:tcW w:w="1249" w:type="dxa"/>
            <w:tcBorders>
              <w:top w:val="nil"/>
              <w:left w:val="nil"/>
              <w:bottom w:val="single" w:sz="4" w:space="0" w:color="auto"/>
              <w:right w:val="single" w:sz="4" w:space="0" w:color="auto"/>
            </w:tcBorders>
            <w:shd w:val="clear" w:color="auto" w:fill="FFFFFF"/>
            <w:vAlign w:val="center"/>
          </w:tcPr>
          <w:p w14:paraId="3FF3B0EC" w14:textId="77777777" w:rsidR="006070FD" w:rsidRPr="00B5277D" w:rsidRDefault="006070FD" w:rsidP="006070FD">
            <w:pPr>
              <w:jc w:val="center"/>
              <w:rPr>
                <w:rFonts w:eastAsia="Calibri"/>
                <w:bCs/>
                <w:szCs w:val="22"/>
                <w:lang w:val="en-PH"/>
              </w:rPr>
            </w:pPr>
            <w:r w:rsidRPr="00B5277D">
              <w:rPr>
                <w:rFonts w:eastAsia="Calibri"/>
                <w:szCs w:val="22"/>
                <w:lang w:val="en-PH"/>
              </w:rPr>
              <w:t>6.46</w:t>
            </w:r>
          </w:p>
        </w:tc>
        <w:tc>
          <w:tcPr>
            <w:tcW w:w="1672" w:type="dxa"/>
            <w:tcBorders>
              <w:top w:val="nil"/>
              <w:left w:val="nil"/>
              <w:bottom w:val="single" w:sz="4" w:space="0" w:color="auto"/>
              <w:right w:val="single" w:sz="4" w:space="0" w:color="auto"/>
            </w:tcBorders>
            <w:shd w:val="clear" w:color="auto" w:fill="FFFFFF"/>
            <w:vAlign w:val="center"/>
          </w:tcPr>
          <w:p w14:paraId="02D7354A" w14:textId="77777777" w:rsidR="006070FD" w:rsidRPr="00B5277D" w:rsidRDefault="006070FD" w:rsidP="006070FD">
            <w:pPr>
              <w:jc w:val="center"/>
              <w:rPr>
                <w:rFonts w:eastAsia="Calibri"/>
                <w:bCs/>
                <w:szCs w:val="22"/>
                <w:lang w:val="en-PH"/>
              </w:rPr>
            </w:pPr>
            <w:r w:rsidRPr="00B5277D">
              <w:rPr>
                <w:rFonts w:eastAsia="Calibri"/>
                <w:szCs w:val="22"/>
                <w:lang w:val="en-PH"/>
              </w:rPr>
              <w:t>Rejected</w:t>
            </w:r>
          </w:p>
        </w:tc>
        <w:tc>
          <w:tcPr>
            <w:tcW w:w="938" w:type="dxa"/>
            <w:tcBorders>
              <w:top w:val="nil"/>
              <w:left w:val="nil"/>
              <w:bottom w:val="single" w:sz="4" w:space="0" w:color="auto"/>
              <w:right w:val="single" w:sz="8" w:space="0" w:color="auto"/>
            </w:tcBorders>
            <w:shd w:val="clear" w:color="auto" w:fill="FFFFFF"/>
            <w:vAlign w:val="center"/>
          </w:tcPr>
          <w:p w14:paraId="15240C69" w14:textId="77777777" w:rsidR="006070FD" w:rsidRPr="00B5277D" w:rsidRDefault="006070FD" w:rsidP="006070FD">
            <w:pPr>
              <w:jc w:val="center"/>
              <w:rPr>
                <w:rFonts w:eastAsia="Calibri"/>
                <w:bCs/>
                <w:szCs w:val="22"/>
                <w:lang w:val="en-PH"/>
              </w:rPr>
            </w:pPr>
            <w:r w:rsidRPr="00B5277D">
              <w:rPr>
                <w:rFonts w:eastAsia="Calibri"/>
                <w:szCs w:val="22"/>
                <w:lang w:val="en-PH"/>
              </w:rPr>
              <w:t>S</w:t>
            </w:r>
          </w:p>
        </w:tc>
      </w:tr>
      <w:tr w:rsidR="006070FD" w:rsidRPr="00B5277D" w14:paraId="0CE43128" w14:textId="77777777" w:rsidTr="00B5277D">
        <w:tc>
          <w:tcPr>
            <w:tcW w:w="4522" w:type="dxa"/>
            <w:shd w:val="clear" w:color="auto" w:fill="FFFFFF"/>
          </w:tcPr>
          <w:p w14:paraId="59024594" w14:textId="77777777" w:rsidR="006070FD" w:rsidRPr="00B5277D" w:rsidRDefault="006070FD" w:rsidP="006070FD">
            <w:pPr>
              <w:jc w:val="both"/>
              <w:rPr>
                <w:rFonts w:eastAsia="Calibri"/>
                <w:bCs/>
                <w:szCs w:val="22"/>
                <w:lang w:val="en-PH"/>
              </w:rPr>
            </w:pPr>
            <w:r w:rsidRPr="00B5277D">
              <w:rPr>
                <w:rFonts w:eastAsia="Calibri"/>
                <w:bCs/>
                <w:szCs w:val="22"/>
                <w:lang w:val="en-PH"/>
              </w:rPr>
              <w:t>Campus</w:t>
            </w:r>
          </w:p>
        </w:tc>
        <w:tc>
          <w:tcPr>
            <w:tcW w:w="974" w:type="dxa"/>
            <w:tcBorders>
              <w:top w:val="nil"/>
              <w:left w:val="single" w:sz="4" w:space="0" w:color="auto"/>
              <w:bottom w:val="single" w:sz="4" w:space="0" w:color="auto"/>
              <w:right w:val="single" w:sz="4" w:space="0" w:color="auto"/>
            </w:tcBorders>
            <w:shd w:val="clear" w:color="auto" w:fill="FFFFFF"/>
            <w:vAlign w:val="bottom"/>
          </w:tcPr>
          <w:p w14:paraId="47342F88" w14:textId="77777777" w:rsidR="006070FD" w:rsidRPr="00B5277D" w:rsidRDefault="006070FD" w:rsidP="006070FD">
            <w:pPr>
              <w:jc w:val="center"/>
              <w:rPr>
                <w:rFonts w:eastAsia="Calibri"/>
                <w:bCs/>
                <w:szCs w:val="22"/>
                <w:lang w:val="en-PH"/>
              </w:rPr>
            </w:pPr>
            <w:r w:rsidRPr="00B5277D">
              <w:rPr>
                <w:rFonts w:eastAsia="Calibri"/>
                <w:szCs w:val="22"/>
                <w:lang w:val="en-PH"/>
              </w:rPr>
              <w:t>0.0002</w:t>
            </w:r>
          </w:p>
        </w:tc>
        <w:tc>
          <w:tcPr>
            <w:tcW w:w="1249" w:type="dxa"/>
            <w:tcBorders>
              <w:top w:val="nil"/>
              <w:left w:val="nil"/>
              <w:bottom w:val="single" w:sz="4" w:space="0" w:color="auto"/>
              <w:right w:val="single" w:sz="4" w:space="0" w:color="auto"/>
            </w:tcBorders>
            <w:shd w:val="clear" w:color="auto" w:fill="FFFFFF"/>
            <w:vAlign w:val="bottom"/>
          </w:tcPr>
          <w:p w14:paraId="38105C68" w14:textId="77777777" w:rsidR="006070FD" w:rsidRPr="00B5277D" w:rsidRDefault="006070FD" w:rsidP="006070FD">
            <w:pPr>
              <w:jc w:val="center"/>
              <w:rPr>
                <w:rFonts w:eastAsia="Calibri"/>
                <w:bCs/>
                <w:szCs w:val="22"/>
                <w:lang w:val="en-PH"/>
              </w:rPr>
            </w:pPr>
            <w:r w:rsidRPr="00B5277D">
              <w:rPr>
                <w:rFonts w:eastAsia="Calibri"/>
                <w:szCs w:val="22"/>
                <w:lang w:val="en-PH"/>
              </w:rPr>
              <w:t>3.01</w:t>
            </w:r>
          </w:p>
        </w:tc>
        <w:tc>
          <w:tcPr>
            <w:tcW w:w="1672" w:type="dxa"/>
            <w:tcBorders>
              <w:top w:val="nil"/>
              <w:left w:val="nil"/>
              <w:bottom w:val="single" w:sz="4" w:space="0" w:color="auto"/>
              <w:right w:val="single" w:sz="4" w:space="0" w:color="auto"/>
            </w:tcBorders>
            <w:shd w:val="clear" w:color="auto" w:fill="FFFFFF"/>
            <w:vAlign w:val="bottom"/>
          </w:tcPr>
          <w:p w14:paraId="66B5E01D" w14:textId="77777777" w:rsidR="006070FD" w:rsidRPr="00B5277D" w:rsidRDefault="006070FD" w:rsidP="006070FD">
            <w:pPr>
              <w:jc w:val="center"/>
              <w:rPr>
                <w:rFonts w:eastAsia="Calibri"/>
                <w:bCs/>
                <w:szCs w:val="22"/>
                <w:lang w:val="en-PH"/>
              </w:rPr>
            </w:pPr>
            <w:r w:rsidRPr="00B5277D">
              <w:rPr>
                <w:rFonts w:eastAsia="Calibri"/>
                <w:szCs w:val="22"/>
                <w:lang w:val="en-PH"/>
              </w:rPr>
              <w:t>Rejected</w:t>
            </w:r>
          </w:p>
        </w:tc>
        <w:tc>
          <w:tcPr>
            <w:tcW w:w="938" w:type="dxa"/>
            <w:tcBorders>
              <w:top w:val="nil"/>
              <w:left w:val="nil"/>
              <w:bottom w:val="single" w:sz="4" w:space="0" w:color="auto"/>
              <w:right w:val="single" w:sz="8" w:space="0" w:color="auto"/>
            </w:tcBorders>
            <w:shd w:val="clear" w:color="auto" w:fill="FFFFFF"/>
            <w:vAlign w:val="bottom"/>
          </w:tcPr>
          <w:p w14:paraId="6A63ACAC" w14:textId="77777777" w:rsidR="006070FD" w:rsidRPr="00B5277D" w:rsidRDefault="006070FD" w:rsidP="006070FD">
            <w:pPr>
              <w:jc w:val="center"/>
              <w:rPr>
                <w:rFonts w:eastAsia="Calibri"/>
                <w:bCs/>
                <w:szCs w:val="22"/>
                <w:lang w:val="en-PH"/>
              </w:rPr>
            </w:pPr>
            <w:r w:rsidRPr="00B5277D">
              <w:rPr>
                <w:rFonts w:eastAsia="Calibri"/>
                <w:szCs w:val="22"/>
                <w:lang w:val="en-PH"/>
              </w:rPr>
              <w:t>S</w:t>
            </w:r>
          </w:p>
        </w:tc>
      </w:tr>
      <w:tr w:rsidR="006070FD" w:rsidRPr="00B5277D" w14:paraId="5F3C0EA5" w14:textId="77777777" w:rsidTr="00B5277D">
        <w:tc>
          <w:tcPr>
            <w:tcW w:w="9355" w:type="dxa"/>
            <w:gridSpan w:val="5"/>
            <w:shd w:val="clear" w:color="auto" w:fill="FFFFFF"/>
          </w:tcPr>
          <w:p w14:paraId="293E89E0" w14:textId="77777777" w:rsidR="006070FD" w:rsidRPr="00B5277D" w:rsidRDefault="006070FD" w:rsidP="006070FD">
            <w:pPr>
              <w:jc w:val="both"/>
              <w:rPr>
                <w:rFonts w:eastAsia="Calibri"/>
                <w:bCs/>
                <w:szCs w:val="22"/>
                <w:lang w:val="en-PH"/>
              </w:rPr>
            </w:pPr>
            <w:r w:rsidRPr="00B5277D">
              <w:rPr>
                <w:rFonts w:eastAsia="Calibri"/>
                <w:szCs w:val="22"/>
                <w:lang w:val="en-PH"/>
              </w:rPr>
              <w:t>GAD Tools</w:t>
            </w:r>
          </w:p>
        </w:tc>
      </w:tr>
      <w:tr w:rsidR="006070FD" w:rsidRPr="00B5277D" w14:paraId="5C23286B" w14:textId="77777777" w:rsidTr="00B5277D">
        <w:tc>
          <w:tcPr>
            <w:tcW w:w="4522" w:type="dxa"/>
            <w:shd w:val="clear" w:color="auto" w:fill="FFFFFF"/>
          </w:tcPr>
          <w:p w14:paraId="1E0AB998" w14:textId="77777777" w:rsidR="006070FD" w:rsidRPr="00B5277D" w:rsidRDefault="006070FD" w:rsidP="006070FD">
            <w:pPr>
              <w:rPr>
                <w:rFonts w:eastAsia="Calibri"/>
                <w:bCs/>
                <w:szCs w:val="22"/>
                <w:lang w:val="en-PH"/>
              </w:rPr>
            </w:pPr>
            <w:r w:rsidRPr="00B5277D">
              <w:rPr>
                <w:rFonts w:eastAsia="Calibri"/>
                <w:bCs/>
                <w:szCs w:val="22"/>
                <w:lang w:val="en-PH"/>
              </w:rPr>
              <w:t>Sex</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bottom"/>
          </w:tcPr>
          <w:p w14:paraId="1C7EB40B" w14:textId="77777777" w:rsidR="006070FD" w:rsidRPr="00B5277D" w:rsidRDefault="006070FD" w:rsidP="006070FD">
            <w:pPr>
              <w:jc w:val="center"/>
              <w:rPr>
                <w:rFonts w:eastAsia="Calibri"/>
                <w:szCs w:val="22"/>
                <w:lang w:val="en-PH"/>
              </w:rPr>
            </w:pPr>
            <w:r w:rsidRPr="00B5277D">
              <w:rPr>
                <w:rFonts w:eastAsia="Calibri"/>
                <w:szCs w:val="22"/>
                <w:lang w:val="en-PH"/>
              </w:rPr>
              <w:t>0.335</w:t>
            </w:r>
          </w:p>
        </w:tc>
        <w:tc>
          <w:tcPr>
            <w:tcW w:w="1249" w:type="dxa"/>
            <w:tcBorders>
              <w:top w:val="single" w:sz="4" w:space="0" w:color="auto"/>
              <w:left w:val="nil"/>
              <w:bottom w:val="single" w:sz="4" w:space="0" w:color="auto"/>
              <w:right w:val="single" w:sz="4" w:space="0" w:color="auto"/>
            </w:tcBorders>
            <w:shd w:val="clear" w:color="auto" w:fill="FFFFFF"/>
            <w:vAlign w:val="bottom"/>
          </w:tcPr>
          <w:p w14:paraId="43CDC9D6" w14:textId="77777777" w:rsidR="006070FD" w:rsidRPr="00B5277D" w:rsidRDefault="006070FD" w:rsidP="006070FD">
            <w:pPr>
              <w:jc w:val="center"/>
              <w:rPr>
                <w:rFonts w:eastAsia="Calibri"/>
                <w:szCs w:val="22"/>
                <w:lang w:val="en-PH"/>
              </w:rPr>
            </w:pPr>
            <w:r w:rsidRPr="00B5277D">
              <w:rPr>
                <w:rFonts w:eastAsia="Calibri"/>
                <w:szCs w:val="22"/>
                <w:lang w:val="en-PH"/>
              </w:rPr>
              <w:t>0.94</w:t>
            </w:r>
          </w:p>
        </w:tc>
        <w:tc>
          <w:tcPr>
            <w:tcW w:w="1672" w:type="dxa"/>
            <w:tcBorders>
              <w:top w:val="single" w:sz="4" w:space="0" w:color="auto"/>
              <w:left w:val="nil"/>
              <w:bottom w:val="single" w:sz="4" w:space="0" w:color="auto"/>
              <w:right w:val="single" w:sz="4" w:space="0" w:color="auto"/>
            </w:tcBorders>
            <w:shd w:val="clear" w:color="auto" w:fill="FFFFFF"/>
            <w:vAlign w:val="bottom"/>
          </w:tcPr>
          <w:p w14:paraId="48C4E74A" w14:textId="77777777" w:rsidR="006070FD" w:rsidRPr="00B5277D" w:rsidRDefault="006070FD" w:rsidP="006070FD">
            <w:pPr>
              <w:jc w:val="center"/>
              <w:rPr>
                <w:rFonts w:eastAsia="Calibri"/>
                <w:szCs w:val="22"/>
                <w:lang w:val="en-PH"/>
              </w:rPr>
            </w:pPr>
            <w:r w:rsidRPr="00B5277D">
              <w:rPr>
                <w:rFonts w:eastAsia="Calibri"/>
                <w:szCs w:val="22"/>
                <w:lang w:val="en-PH"/>
              </w:rPr>
              <w:t>Failed to Reject</w:t>
            </w:r>
          </w:p>
        </w:tc>
        <w:tc>
          <w:tcPr>
            <w:tcW w:w="938" w:type="dxa"/>
            <w:tcBorders>
              <w:top w:val="single" w:sz="4" w:space="0" w:color="auto"/>
              <w:left w:val="nil"/>
              <w:bottom w:val="single" w:sz="4" w:space="0" w:color="auto"/>
              <w:right w:val="single" w:sz="8" w:space="0" w:color="auto"/>
            </w:tcBorders>
            <w:shd w:val="clear" w:color="auto" w:fill="FFFFFF"/>
            <w:vAlign w:val="bottom"/>
          </w:tcPr>
          <w:p w14:paraId="44E9E5D6" w14:textId="77777777" w:rsidR="006070FD" w:rsidRPr="00B5277D" w:rsidRDefault="006070FD" w:rsidP="006070FD">
            <w:pPr>
              <w:jc w:val="center"/>
              <w:rPr>
                <w:rFonts w:eastAsia="Calibri"/>
                <w:szCs w:val="22"/>
                <w:lang w:val="en-PH"/>
              </w:rPr>
            </w:pPr>
            <w:r w:rsidRPr="00B5277D">
              <w:rPr>
                <w:rFonts w:eastAsia="Calibri"/>
                <w:szCs w:val="22"/>
                <w:lang w:val="en-PH"/>
              </w:rPr>
              <w:t>NS</w:t>
            </w:r>
          </w:p>
        </w:tc>
      </w:tr>
      <w:tr w:rsidR="006070FD" w:rsidRPr="00B5277D" w14:paraId="3EB17B33" w14:textId="77777777" w:rsidTr="00B5277D">
        <w:tc>
          <w:tcPr>
            <w:tcW w:w="4522" w:type="dxa"/>
            <w:shd w:val="clear" w:color="auto" w:fill="FFFFFF"/>
          </w:tcPr>
          <w:p w14:paraId="4BD27D5E" w14:textId="77777777" w:rsidR="006070FD" w:rsidRPr="00B5277D" w:rsidRDefault="006070FD" w:rsidP="006070FD">
            <w:pPr>
              <w:rPr>
                <w:rFonts w:eastAsia="Calibri"/>
                <w:bCs/>
                <w:szCs w:val="22"/>
                <w:lang w:val="en-PH"/>
              </w:rPr>
            </w:pPr>
            <w:r w:rsidRPr="00B5277D">
              <w:rPr>
                <w:rFonts w:eastAsia="Calibri"/>
                <w:bCs/>
                <w:szCs w:val="22"/>
                <w:lang w:val="en-PH"/>
              </w:rPr>
              <w:t>Age</w:t>
            </w:r>
          </w:p>
        </w:tc>
        <w:tc>
          <w:tcPr>
            <w:tcW w:w="974" w:type="dxa"/>
            <w:tcBorders>
              <w:top w:val="nil"/>
              <w:left w:val="single" w:sz="4" w:space="0" w:color="auto"/>
              <w:bottom w:val="single" w:sz="4" w:space="0" w:color="auto"/>
              <w:right w:val="single" w:sz="4" w:space="0" w:color="auto"/>
            </w:tcBorders>
            <w:shd w:val="clear" w:color="auto" w:fill="FFFFFF"/>
            <w:vAlign w:val="bottom"/>
          </w:tcPr>
          <w:p w14:paraId="65205996" w14:textId="77777777" w:rsidR="006070FD" w:rsidRPr="00B5277D" w:rsidRDefault="006070FD" w:rsidP="006070FD">
            <w:pPr>
              <w:jc w:val="center"/>
              <w:rPr>
                <w:rFonts w:eastAsia="Calibri"/>
                <w:szCs w:val="22"/>
                <w:lang w:val="en-PH"/>
              </w:rPr>
            </w:pPr>
            <w:r w:rsidRPr="00B5277D">
              <w:rPr>
                <w:rFonts w:eastAsia="Calibri"/>
                <w:szCs w:val="22"/>
                <w:lang w:val="en-PH"/>
              </w:rPr>
              <w:t>0.243</w:t>
            </w:r>
          </w:p>
        </w:tc>
        <w:tc>
          <w:tcPr>
            <w:tcW w:w="1249" w:type="dxa"/>
            <w:tcBorders>
              <w:top w:val="nil"/>
              <w:left w:val="nil"/>
              <w:bottom w:val="single" w:sz="4" w:space="0" w:color="auto"/>
              <w:right w:val="single" w:sz="4" w:space="0" w:color="auto"/>
            </w:tcBorders>
            <w:shd w:val="clear" w:color="auto" w:fill="FFFFFF"/>
            <w:vAlign w:val="bottom"/>
          </w:tcPr>
          <w:p w14:paraId="2519B28D" w14:textId="77777777" w:rsidR="006070FD" w:rsidRPr="00B5277D" w:rsidRDefault="006070FD" w:rsidP="006070FD">
            <w:pPr>
              <w:jc w:val="center"/>
              <w:rPr>
                <w:rFonts w:eastAsia="Calibri"/>
                <w:szCs w:val="22"/>
                <w:lang w:val="en-PH"/>
              </w:rPr>
            </w:pPr>
            <w:r w:rsidRPr="00B5277D">
              <w:rPr>
                <w:rFonts w:eastAsia="Calibri"/>
                <w:szCs w:val="22"/>
                <w:lang w:val="en-PH"/>
              </w:rPr>
              <w:t>1.4</w:t>
            </w:r>
          </w:p>
        </w:tc>
        <w:tc>
          <w:tcPr>
            <w:tcW w:w="1672" w:type="dxa"/>
            <w:tcBorders>
              <w:top w:val="nil"/>
              <w:left w:val="nil"/>
              <w:bottom w:val="single" w:sz="4" w:space="0" w:color="auto"/>
              <w:right w:val="single" w:sz="4" w:space="0" w:color="auto"/>
            </w:tcBorders>
            <w:shd w:val="clear" w:color="auto" w:fill="FFFFFF"/>
            <w:vAlign w:val="bottom"/>
          </w:tcPr>
          <w:p w14:paraId="65E383A4" w14:textId="77777777" w:rsidR="006070FD" w:rsidRPr="00B5277D" w:rsidRDefault="006070FD" w:rsidP="006070FD">
            <w:pPr>
              <w:jc w:val="center"/>
              <w:rPr>
                <w:rFonts w:eastAsia="Calibri"/>
                <w:szCs w:val="22"/>
                <w:lang w:val="en-PH"/>
              </w:rPr>
            </w:pPr>
            <w:r w:rsidRPr="00B5277D">
              <w:rPr>
                <w:rFonts w:eastAsia="Calibri"/>
                <w:szCs w:val="22"/>
                <w:lang w:val="en-PH"/>
              </w:rPr>
              <w:t>Failed to Reject</w:t>
            </w:r>
          </w:p>
        </w:tc>
        <w:tc>
          <w:tcPr>
            <w:tcW w:w="938" w:type="dxa"/>
            <w:tcBorders>
              <w:top w:val="nil"/>
              <w:left w:val="nil"/>
              <w:bottom w:val="single" w:sz="4" w:space="0" w:color="auto"/>
              <w:right w:val="single" w:sz="8" w:space="0" w:color="auto"/>
            </w:tcBorders>
            <w:shd w:val="clear" w:color="auto" w:fill="FFFFFF"/>
            <w:vAlign w:val="bottom"/>
          </w:tcPr>
          <w:p w14:paraId="643E2229" w14:textId="77777777" w:rsidR="006070FD" w:rsidRPr="00B5277D" w:rsidRDefault="006070FD" w:rsidP="006070FD">
            <w:pPr>
              <w:jc w:val="center"/>
              <w:rPr>
                <w:rFonts w:eastAsia="Calibri"/>
                <w:szCs w:val="22"/>
                <w:lang w:val="en-PH"/>
              </w:rPr>
            </w:pPr>
            <w:r w:rsidRPr="00B5277D">
              <w:rPr>
                <w:rFonts w:eastAsia="Calibri"/>
                <w:szCs w:val="22"/>
                <w:lang w:val="en-PH"/>
              </w:rPr>
              <w:t>NS</w:t>
            </w:r>
          </w:p>
        </w:tc>
      </w:tr>
      <w:tr w:rsidR="006070FD" w:rsidRPr="00B5277D" w14:paraId="76359986" w14:textId="77777777" w:rsidTr="00B5277D">
        <w:tc>
          <w:tcPr>
            <w:tcW w:w="4522" w:type="dxa"/>
            <w:shd w:val="clear" w:color="auto" w:fill="FFFFFF"/>
          </w:tcPr>
          <w:p w14:paraId="39D03A7B" w14:textId="77777777" w:rsidR="006070FD" w:rsidRPr="00B5277D" w:rsidRDefault="006070FD" w:rsidP="006070FD">
            <w:pPr>
              <w:rPr>
                <w:rFonts w:eastAsia="Calibri"/>
                <w:bCs/>
                <w:szCs w:val="22"/>
                <w:lang w:val="en-PH"/>
              </w:rPr>
            </w:pPr>
            <w:r w:rsidRPr="00B5277D">
              <w:rPr>
                <w:rFonts w:eastAsia="Calibri"/>
                <w:bCs/>
                <w:szCs w:val="22"/>
                <w:lang w:val="en-PH"/>
              </w:rPr>
              <w:t>Educational Attainment</w:t>
            </w:r>
          </w:p>
        </w:tc>
        <w:tc>
          <w:tcPr>
            <w:tcW w:w="974" w:type="dxa"/>
            <w:tcBorders>
              <w:top w:val="nil"/>
              <w:left w:val="single" w:sz="4" w:space="0" w:color="auto"/>
              <w:bottom w:val="single" w:sz="4" w:space="0" w:color="auto"/>
              <w:right w:val="single" w:sz="4" w:space="0" w:color="auto"/>
            </w:tcBorders>
            <w:shd w:val="clear" w:color="auto" w:fill="FFFFFF"/>
            <w:vAlign w:val="bottom"/>
          </w:tcPr>
          <w:p w14:paraId="04604A31" w14:textId="77777777" w:rsidR="006070FD" w:rsidRPr="00B5277D" w:rsidRDefault="006070FD" w:rsidP="006070FD">
            <w:pPr>
              <w:jc w:val="center"/>
              <w:rPr>
                <w:rFonts w:eastAsia="Calibri"/>
                <w:szCs w:val="22"/>
                <w:lang w:val="en-PH"/>
              </w:rPr>
            </w:pPr>
            <w:r w:rsidRPr="00B5277D">
              <w:rPr>
                <w:rFonts w:eastAsia="Calibri"/>
                <w:szCs w:val="22"/>
                <w:lang w:val="en-PH"/>
              </w:rPr>
              <w:t>0.202</w:t>
            </w:r>
          </w:p>
        </w:tc>
        <w:tc>
          <w:tcPr>
            <w:tcW w:w="1249" w:type="dxa"/>
            <w:tcBorders>
              <w:top w:val="nil"/>
              <w:left w:val="nil"/>
              <w:bottom w:val="single" w:sz="4" w:space="0" w:color="auto"/>
              <w:right w:val="single" w:sz="4" w:space="0" w:color="auto"/>
            </w:tcBorders>
            <w:shd w:val="clear" w:color="auto" w:fill="FFFFFF"/>
            <w:vAlign w:val="bottom"/>
          </w:tcPr>
          <w:p w14:paraId="7D0AF48B" w14:textId="77777777" w:rsidR="006070FD" w:rsidRPr="00B5277D" w:rsidRDefault="006070FD" w:rsidP="006070FD">
            <w:pPr>
              <w:jc w:val="center"/>
              <w:rPr>
                <w:rFonts w:eastAsia="Calibri"/>
                <w:szCs w:val="22"/>
                <w:lang w:val="en-PH"/>
              </w:rPr>
            </w:pPr>
            <w:r w:rsidRPr="00B5277D">
              <w:rPr>
                <w:rFonts w:eastAsia="Calibri"/>
                <w:szCs w:val="22"/>
                <w:lang w:val="en-PH"/>
              </w:rPr>
              <w:t>1.63</w:t>
            </w:r>
          </w:p>
        </w:tc>
        <w:tc>
          <w:tcPr>
            <w:tcW w:w="1672" w:type="dxa"/>
            <w:tcBorders>
              <w:top w:val="nil"/>
              <w:left w:val="nil"/>
              <w:bottom w:val="single" w:sz="4" w:space="0" w:color="auto"/>
              <w:right w:val="single" w:sz="4" w:space="0" w:color="auto"/>
            </w:tcBorders>
            <w:shd w:val="clear" w:color="auto" w:fill="FFFFFF"/>
            <w:vAlign w:val="bottom"/>
          </w:tcPr>
          <w:p w14:paraId="285461EC" w14:textId="77777777" w:rsidR="006070FD" w:rsidRPr="00B5277D" w:rsidRDefault="006070FD" w:rsidP="006070FD">
            <w:pPr>
              <w:jc w:val="center"/>
              <w:rPr>
                <w:rFonts w:eastAsia="Calibri"/>
                <w:szCs w:val="22"/>
                <w:lang w:val="en-PH"/>
              </w:rPr>
            </w:pPr>
            <w:r w:rsidRPr="00B5277D">
              <w:rPr>
                <w:rFonts w:eastAsia="Calibri"/>
                <w:szCs w:val="22"/>
                <w:lang w:val="en-PH"/>
              </w:rPr>
              <w:t>Failed to Reject</w:t>
            </w:r>
          </w:p>
        </w:tc>
        <w:tc>
          <w:tcPr>
            <w:tcW w:w="938" w:type="dxa"/>
            <w:tcBorders>
              <w:top w:val="nil"/>
              <w:left w:val="nil"/>
              <w:bottom w:val="single" w:sz="4" w:space="0" w:color="auto"/>
              <w:right w:val="single" w:sz="8" w:space="0" w:color="auto"/>
            </w:tcBorders>
            <w:shd w:val="clear" w:color="auto" w:fill="FFFFFF"/>
            <w:vAlign w:val="bottom"/>
          </w:tcPr>
          <w:p w14:paraId="483D6417" w14:textId="77777777" w:rsidR="006070FD" w:rsidRPr="00B5277D" w:rsidRDefault="006070FD" w:rsidP="006070FD">
            <w:pPr>
              <w:jc w:val="center"/>
              <w:rPr>
                <w:rFonts w:eastAsia="Calibri"/>
                <w:szCs w:val="22"/>
                <w:lang w:val="en-PH"/>
              </w:rPr>
            </w:pPr>
            <w:r w:rsidRPr="00B5277D">
              <w:rPr>
                <w:rFonts w:eastAsia="Calibri"/>
                <w:szCs w:val="22"/>
                <w:lang w:val="en-PH"/>
              </w:rPr>
              <w:t>NS</w:t>
            </w:r>
          </w:p>
        </w:tc>
      </w:tr>
      <w:tr w:rsidR="006070FD" w:rsidRPr="00B5277D" w14:paraId="7FB1A005" w14:textId="77777777" w:rsidTr="00B5277D">
        <w:tc>
          <w:tcPr>
            <w:tcW w:w="4522" w:type="dxa"/>
            <w:shd w:val="clear" w:color="auto" w:fill="FFFFFF"/>
          </w:tcPr>
          <w:p w14:paraId="014F9B5A" w14:textId="77777777" w:rsidR="006070FD" w:rsidRPr="00B5277D" w:rsidRDefault="006070FD" w:rsidP="006070FD">
            <w:pPr>
              <w:rPr>
                <w:rFonts w:eastAsia="Calibri"/>
                <w:bCs/>
                <w:szCs w:val="22"/>
                <w:lang w:val="en-PH"/>
              </w:rPr>
            </w:pPr>
            <w:r w:rsidRPr="00B5277D">
              <w:rPr>
                <w:rFonts w:eastAsia="Calibri"/>
                <w:bCs/>
                <w:szCs w:val="22"/>
                <w:lang w:val="en-PH"/>
              </w:rPr>
              <w:t>Position</w:t>
            </w:r>
          </w:p>
        </w:tc>
        <w:tc>
          <w:tcPr>
            <w:tcW w:w="974" w:type="dxa"/>
            <w:tcBorders>
              <w:top w:val="nil"/>
              <w:left w:val="single" w:sz="4" w:space="0" w:color="auto"/>
              <w:bottom w:val="single" w:sz="4" w:space="0" w:color="auto"/>
              <w:right w:val="single" w:sz="4" w:space="0" w:color="auto"/>
            </w:tcBorders>
            <w:shd w:val="clear" w:color="auto" w:fill="FFFFFF"/>
            <w:vAlign w:val="bottom"/>
          </w:tcPr>
          <w:p w14:paraId="66076DF0" w14:textId="77777777" w:rsidR="006070FD" w:rsidRPr="00B5277D" w:rsidRDefault="006070FD" w:rsidP="006070FD">
            <w:pPr>
              <w:jc w:val="center"/>
              <w:rPr>
                <w:rFonts w:eastAsia="Calibri"/>
                <w:szCs w:val="22"/>
                <w:lang w:val="en-PH"/>
              </w:rPr>
            </w:pPr>
            <w:r w:rsidRPr="00B5277D">
              <w:rPr>
                <w:rFonts w:eastAsia="Calibri"/>
                <w:szCs w:val="22"/>
                <w:lang w:val="en-PH"/>
              </w:rPr>
              <w:t>0.656</w:t>
            </w:r>
          </w:p>
        </w:tc>
        <w:tc>
          <w:tcPr>
            <w:tcW w:w="1249" w:type="dxa"/>
            <w:tcBorders>
              <w:top w:val="nil"/>
              <w:left w:val="nil"/>
              <w:bottom w:val="single" w:sz="4" w:space="0" w:color="auto"/>
              <w:right w:val="single" w:sz="4" w:space="0" w:color="auto"/>
            </w:tcBorders>
            <w:shd w:val="clear" w:color="auto" w:fill="FFFFFF"/>
            <w:vAlign w:val="bottom"/>
          </w:tcPr>
          <w:p w14:paraId="46116A67" w14:textId="77777777" w:rsidR="006070FD" w:rsidRPr="00B5277D" w:rsidRDefault="006070FD" w:rsidP="006070FD">
            <w:pPr>
              <w:jc w:val="center"/>
              <w:rPr>
                <w:rFonts w:eastAsia="Calibri"/>
                <w:szCs w:val="22"/>
                <w:lang w:val="en-PH"/>
              </w:rPr>
            </w:pPr>
            <w:r w:rsidRPr="00B5277D">
              <w:rPr>
                <w:rFonts w:eastAsia="Calibri"/>
                <w:szCs w:val="22"/>
                <w:lang w:val="en-PH"/>
              </w:rPr>
              <w:t>0.66</w:t>
            </w:r>
          </w:p>
        </w:tc>
        <w:tc>
          <w:tcPr>
            <w:tcW w:w="1672" w:type="dxa"/>
            <w:tcBorders>
              <w:top w:val="nil"/>
              <w:left w:val="nil"/>
              <w:bottom w:val="single" w:sz="4" w:space="0" w:color="auto"/>
              <w:right w:val="single" w:sz="4" w:space="0" w:color="auto"/>
            </w:tcBorders>
            <w:shd w:val="clear" w:color="auto" w:fill="FFFFFF"/>
            <w:vAlign w:val="bottom"/>
          </w:tcPr>
          <w:p w14:paraId="252BCB09" w14:textId="77777777" w:rsidR="006070FD" w:rsidRPr="00B5277D" w:rsidRDefault="006070FD" w:rsidP="006070FD">
            <w:pPr>
              <w:jc w:val="center"/>
              <w:rPr>
                <w:rFonts w:eastAsia="Calibri"/>
                <w:szCs w:val="22"/>
                <w:lang w:val="en-PH"/>
              </w:rPr>
            </w:pPr>
            <w:r w:rsidRPr="00B5277D">
              <w:rPr>
                <w:rFonts w:eastAsia="Calibri"/>
                <w:szCs w:val="22"/>
                <w:lang w:val="en-PH"/>
              </w:rPr>
              <w:t>Failed to Reject</w:t>
            </w:r>
          </w:p>
        </w:tc>
        <w:tc>
          <w:tcPr>
            <w:tcW w:w="938" w:type="dxa"/>
            <w:tcBorders>
              <w:top w:val="nil"/>
              <w:left w:val="nil"/>
              <w:bottom w:val="single" w:sz="4" w:space="0" w:color="auto"/>
              <w:right w:val="single" w:sz="8" w:space="0" w:color="auto"/>
            </w:tcBorders>
            <w:shd w:val="clear" w:color="auto" w:fill="FFFFFF"/>
            <w:vAlign w:val="bottom"/>
          </w:tcPr>
          <w:p w14:paraId="1C18D50A" w14:textId="77777777" w:rsidR="006070FD" w:rsidRPr="00B5277D" w:rsidRDefault="006070FD" w:rsidP="006070FD">
            <w:pPr>
              <w:jc w:val="center"/>
              <w:rPr>
                <w:rFonts w:eastAsia="Calibri"/>
                <w:szCs w:val="22"/>
                <w:lang w:val="en-PH"/>
              </w:rPr>
            </w:pPr>
            <w:r w:rsidRPr="00B5277D">
              <w:rPr>
                <w:rFonts w:eastAsia="Calibri"/>
                <w:szCs w:val="22"/>
                <w:lang w:val="en-PH"/>
              </w:rPr>
              <w:t>NS</w:t>
            </w:r>
          </w:p>
        </w:tc>
      </w:tr>
      <w:tr w:rsidR="006070FD" w:rsidRPr="00B5277D" w14:paraId="27944EC8" w14:textId="77777777" w:rsidTr="00B5277D">
        <w:tc>
          <w:tcPr>
            <w:tcW w:w="4522" w:type="dxa"/>
            <w:shd w:val="clear" w:color="auto" w:fill="FFFFFF"/>
          </w:tcPr>
          <w:p w14:paraId="5C54D348" w14:textId="77777777" w:rsidR="006070FD" w:rsidRPr="00B5277D" w:rsidRDefault="006070FD" w:rsidP="006070FD">
            <w:pPr>
              <w:rPr>
                <w:rFonts w:eastAsia="Calibri"/>
                <w:bCs/>
                <w:szCs w:val="22"/>
                <w:lang w:val="en-PH"/>
              </w:rPr>
            </w:pPr>
            <w:r w:rsidRPr="00B5277D">
              <w:rPr>
                <w:rFonts w:eastAsia="Calibri"/>
                <w:bCs/>
                <w:szCs w:val="22"/>
                <w:lang w:val="en-PH"/>
              </w:rPr>
              <w:t>GFPS Committee</w:t>
            </w:r>
          </w:p>
        </w:tc>
        <w:tc>
          <w:tcPr>
            <w:tcW w:w="974" w:type="dxa"/>
            <w:tcBorders>
              <w:top w:val="nil"/>
              <w:left w:val="single" w:sz="4" w:space="0" w:color="auto"/>
              <w:bottom w:val="single" w:sz="4" w:space="0" w:color="auto"/>
              <w:right w:val="single" w:sz="4" w:space="0" w:color="auto"/>
            </w:tcBorders>
            <w:shd w:val="clear" w:color="auto" w:fill="FFFFFF"/>
            <w:vAlign w:val="bottom"/>
          </w:tcPr>
          <w:p w14:paraId="3D3A478D" w14:textId="77777777" w:rsidR="006070FD" w:rsidRPr="00B5277D" w:rsidRDefault="006070FD" w:rsidP="006070FD">
            <w:pPr>
              <w:jc w:val="center"/>
              <w:rPr>
                <w:rFonts w:eastAsia="Calibri"/>
                <w:szCs w:val="22"/>
                <w:lang w:val="en-PH"/>
              </w:rPr>
            </w:pPr>
            <w:r w:rsidRPr="00B5277D">
              <w:rPr>
                <w:rFonts w:eastAsia="Calibri"/>
                <w:szCs w:val="22"/>
                <w:lang w:val="en-PH"/>
              </w:rPr>
              <w:t>0.009</w:t>
            </w:r>
          </w:p>
        </w:tc>
        <w:tc>
          <w:tcPr>
            <w:tcW w:w="1249" w:type="dxa"/>
            <w:tcBorders>
              <w:top w:val="nil"/>
              <w:left w:val="nil"/>
              <w:bottom w:val="single" w:sz="4" w:space="0" w:color="auto"/>
              <w:right w:val="single" w:sz="4" w:space="0" w:color="auto"/>
            </w:tcBorders>
            <w:shd w:val="clear" w:color="auto" w:fill="FFFFFF"/>
            <w:vAlign w:val="bottom"/>
          </w:tcPr>
          <w:p w14:paraId="7FD7B041" w14:textId="77777777" w:rsidR="006070FD" w:rsidRPr="00B5277D" w:rsidRDefault="006070FD" w:rsidP="006070FD">
            <w:pPr>
              <w:jc w:val="center"/>
              <w:rPr>
                <w:rFonts w:eastAsia="Calibri"/>
                <w:szCs w:val="22"/>
                <w:lang w:val="en-PH"/>
              </w:rPr>
            </w:pPr>
            <w:r w:rsidRPr="00B5277D">
              <w:rPr>
                <w:rFonts w:eastAsia="Calibri"/>
                <w:szCs w:val="22"/>
                <w:lang w:val="en-PH"/>
              </w:rPr>
              <w:t>4.93</w:t>
            </w:r>
          </w:p>
        </w:tc>
        <w:tc>
          <w:tcPr>
            <w:tcW w:w="1672" w:type="dxa"/>
            <w:tcBorders>
              <w:top w:val="nil"/>
              <w:left w:val="nil"/>
              <w:bottom w:val="single" w:sz="4" w:space="0" w:color="auto"/>
              <w:right w:val="single" w:sz="4" w:space="0" w:color="auto"/>
            </w:tcBorders>
            <w:shd w:val="clear" w:color="auto" w:fill="FFFFFF"/>
            <w:vAlign w:val="bottom"/>
          </w:tcPr>
          <w:p w14:paraId="1091AB1F" w14:textId="77777777" w:rsidR="006070FD" w:rsidRPr="00B5277D" w:rsidRDefault="006070FD" w:rsidP="006070FD">
            <w:pPr>
              <w:jc w:val="center"/>
              <w:rPr>
                <w:rFonts w:eastAsia="Calibri"/>
                <w:szCs w:val="22"/>
                <w:lang w:val="en-PH"/>
              </w:rPr>
            </w:pPr>
            <w:r w:rsidRPr="00B5277D">
              <w:rPr>
                <w:rFonts w:eastAsia="Calibri"/>
                <w:szCs w:val="22"/>
                <w:lang w:val="en-PH"/>
              </w:rPr>
              <w:t>Rejected</w:t>
            </w:r>
          </w:p>
        </w:tc>
        <w:tc>
          <w:tcPr>
            <w:tcW w:w="938" w:type="dxa"/>
            <w:tcBorders>
              <w:top w:val="nil"/>
              <w:left w:val="nil"/>
              <w:bottom w:val="single" w:sz="4" w:space="0" w:color="auto"/>
              <w:right w:val="single" w:sz="8" w:space="0" w:color="auto"/>
            </w:tcBorders>
            <w:shd w:val="clear" w:color="auto" w:fill="FFFFFF"/>
            <w:vAlign w:val="bottom"/>
          </w:tcPr>
          <w:p w14:paraId="3F5E8154" w14:textId="77777777" w:rsidR="006070FD" w:rsidRPr="00B5277D" w:rsidRDefault="006070FD" w:rsidP="006070FD">
            <w:pPr>
              <w:jc w:val="center"/>
              <w:rPr>
                <w:rFonts w:eastAsia="Calibri"/>
                <w:szCs w:val="22"/>
                <w:lang w:val="en-PH"/>
              </w:rPr>
            </w:pPr>
            <w:r w:rsidRPr="00B5277D">
              <w:rPr>
                <w:rFonts w:eastAsia="Calibri"/>
                <w:szCs w:val="22"/>
                <w:lang w:val="en-PH"/>
              </w:rPr>
              <w:t>S</w:t>
            </w:r>
          </w:p>
        </w:tc>
      </w:tr>
      <w:tr w:rsidR="006070FD" w:rsidRPr="00B5277D" w14:paraId="5EF9C924" w14:textId="77777777" w:rsidTr="00B5277D">
        <w:tc>
          <w:tcPr>
            <w:tcW w:w="4522" w:type="dxa"/>
            <w:shd w:val="clear" w:color="auto" w:fill="FFFFFF"/>
          </w:tcPr>
          <w:p w14:paraId="7F9F0B45" w14:textId="77777777" w:rsidR="006070FD" w:rsidRPr="00B5277D" w:rsidRDefault="006070FD" w:rsidP="006070FD">
            <w:pPr>
              <w:rPr>
                <w:rFonts w:eastAsia="Calibri"/>
                <w:bCs/>
                <w:szCs w:val="22"/>
                <w:lang w:val="en-PH"/>
              </w:rPr>
            </w:pPr>
            <w:r w:rsidRPr="00B5277D">
              <w:rPr>
                <w:rFonts w:eastAsia="Calibri"/>
                <w:bCs/>
                <w:szCs w:val="22"/>
                <w:lang w:val="en-PH"/>
              </w:rPr>
              <w:t>Number of years a GFPS member</w:t>
            </w:r>
            <w:r w:rsidRPr="00B5277D">
              <w:rPr>
                <w:rFonts w:eastAsia="Calibri"/>
                <w:bCs/>
                <w:szCs w:val="22"/>
              </w:rPr>
              <w:t xml:space="preserve"> </w:t>
            </w:r>
            <w:r w:rsidRPr="00B5277D">
              <w:rPr>
                <w:rFonts w:eastAsia="Calibri"/>
                <w:bCs/>
                <w:szCs w:val="22"/>
                <w:lang w:val="en-PH"/>
              </w:rPr>
              <w:t>(regardless of designated position in the GFPS)</w:t>
            </w:r>
          </w:p>
        </w:tc>
        <w:tc>
          <w:tcPr>
            <w:tcW w:w="974" w:type="dxa"/>
            <w:tcBorders>
              <w:top w:val="nil"/>
              <w:left w:val="single" w:sz="4" w:space="0" w:color="auto"/>
              <w:bottom w:val="single" w:sz="4" w:space="0" w:color="auto"/>
              <w:right w:val="single" w:sz="4" w:space="0" w:color="auto"/>
            </w:tcBorders>
            <w:shd w:val="clear" w:color="auto" w:fill="FFFFFF"/>
            <w:vAlign w:val="center"/>
          </w:tcPr>
          <w:p w14:paraId="13805440" w14:textId="77777777" w:rsidR="006070FD" w:rsidRPr="00B5277D" w:rsidRDefault="006070FD" w:rsidP="006070FD">
            <w:pPr>
              <w:jc w:val="center"/>
              <w:rPr>
                <w:rFonts w:eastAsia="Calibri"/>
                <w:szCs w:val="22"/>
                <w:lang w:val="en-PH"/>
              </w:rPr>
            </w:pPr>
            <w:r w:rsidRPr="00B5277D">
              <w:rPr>
                <w:rFonts w:eastAsia="Calibri"/>
                <w:szCs w:val="22"/>
                <w:lang w:val="en-PH"/>
              </w:rPr>
              <w:t>0.054</w:t>
            </w:r>
          </w:p>
        </w:tc>
        <w:tc>
          <w:tcPr>
            <w:tcW w:w="1249" w:type="dxa"/>
            <w:tcBorders>
              <w:top w:val="nil"/>
              <w:left w:val="nil"/>
              <w:bottom w:val="single" w:sz="4" w:space="0" w:color="auto"/>
              <w:right w:val="single" w:sz="4" w:space="0" w:color="auto"/>
            </w:tcBorders>
            <w:shd w:val="clear" w:color="auto" w:fill="FFFFFF"/>
            <w:vAlign w:val="center"/>
          </w:tcPr>
          <w:p w14:paraId="3D2CCA3B" w14:textId="77777777" w:rsidR="006070FD" w:rsidRPr="00B5277D" w:rsidRDefault="006070FD" w:rsidP="006070FD">
            <w:pPr>
              <w:jc w:val="center"/>
              <w:rPr>
                <w:rFonts w:eastAsia="Calibri"/>
                <w:szCs w:val="22"/>
                <w:lang w:val="en-PH"/>
              </w:rPr>
            </w:pPr>
            <w:r w:rsidRPr="00B5277D">
              <w:rPr>
                <w:rFonts w:eastAsia="Calibri"/>
                <w:szCs w:val="22"/>
                <w:lang w:val="en-PH"/>
              </w:rPr>
              <w:t>2.25</w:t>
            </w:r>
          </w:p>
        </w:tc>
        <w:tc>
          <w:tcPr>
            <w:tcW w:w="1672" w:type="dxa"/>
            <w:tcBorders>
              <w:top w:val="nil"/>
              <w:left w:val="nil"/>
              <w:bottom w:val="single" w:sz="4" w:space="0" w:color="auto"/>
              <w:right w:val="single" w:sz="4" w:space="0" w:color="auto"/>
            </w:tcBorders>
            <w:shd w:val="clear" w:color="auto" w:fill="FFFFFF"/>
            <w:vAlign w:val="center"/>
          </w:tcPr>
          <w:p w14:paraId="7A570F00" w14:textId="77777777" w:rsidR="006070FD" w:rsidRPr="00B5277D" w:rsidRDefault="006070FD" w:rsidP="006070FD">
            <w:pPr>
              <w:jc w:val="center"/>
              <w:rPr>
                <w:rFonts w:eastAsia="Calibri"/>
                <w:szCs w:val="22"/>
                <w:lang w:val="en-PH"/>
              </w:rPr>
            </w:pPr>
            <w:r w:rsidRPr="00B5277D">
              <w:rPr>
                <w:rFonts w:eastAsia="Calibri"/>
                <w:szCs w:val="22"/>
                <w:lang w:val="en-PH"/>
              </w:rPr>
              <w:t>Failed to Reject</w:t>
            </w:r>
          </w:p>
        </w:tc>
        <w:tc>
          <w:tcPr>
            <w:tcW w:w="938" w:type="dxa"/>
            <w:tcBorders>
              <w:top w:val="nil"/>
              <w:left w:val="nil"/>
              <w:bottom w:val="single" w:sz="4" w:space="0" w:color="auto"/>
              <w:right w:val="single" w:sz="8" w:space="0" w:color="auto"/>
            </w:tcBorders>
            <w:shd w:val="clear" w:color="auto" w:fill="FFFFFF"/>
            <w:vAlign w:val="center"/>
          </w:tcPr>
          <w:p w14:paraId="78E75D78" w14:textId="77777777" w:rsidR="006070FD" w:rsidRPr="00B5277D" w:rsidRDefault="006070FD" w:rsidP="006070FD">
            <w:pPr>
              <w:jc w:val="center"/>
              <w:rPr>
                <w:rFonts w:eastAsia="Calibri"/>
                <w:szCs w:val="22"/>
                <w:lang w:val="en-PH"/>
              </w:rPr>
            </w:pPr>
            <w:r w:rsidRPr="00B5277D">
              <w:rPr>
                <w:rFonts w:eastAsia="Calibri"/>
                <w:szCs w:val="22"/>
                <w:lang w:val="en-PH"/>
              </w:rPr>
              <w:t>NS</w:t>
            </w:r>
          </w:p>
        </w:tc>
      </w:tr>
      <w:tr w:rsidR="006070FD" w:rsidRPr="00B5277D" w14:paraId="5B32CC08" w14:textId="77777777" w:rsidTr="00B5277D">
        <w:tc>
          <w:tcPr>
            <w:tcW w:w="4522" w:type="dxa"/>
            <w:shd w:val="clear" w:color="auto" w:fill="FFFFFF"/>
          </w:tcPr>
          <w:p w14:paraId="2FA6505B" w14:textId="77777777" w:rsidR="006070FD" w:rsidRPr="00B5277D" w:rsidRDefault="006070FD" w:rsidP="006070FD">
            <w:pPr>
              <w:rPr>
                <w:rFonts w:eastAsia="Calibri"/>
                <w:bCs/>
                <w:szCs w:val="22"/>
                <w:lang w:val="en-PH"/>
              </w:rPr>
            </w:pPr>
            <w:r w:rsidRPr="00B5277D">
              <w:rPr>
                <w:rFonts w:eastAsia="Calibri"/>
                <w:bCs/>
                <w:szCs w:val="22"/>
                <w:lang w:val="en-PH"/>
              </w:rPr>
              <w:t>Campus</w:t>
            </w:r>
          </w:p>
        </w:tc>
        <w:tc>
          <w:tcPr>
            <w:tcW w:w="974" w:type="dxa"/>
            <w:tcBorders>
              <w:top w:val="nil"/>
              <w:left w:val="single" w:sz="4" w:space="0" w:color="auto"/>
              <w:bottom w:val="single" w:sz="8" w:space="0" w:color="auto"/>
              <w:right w:val="single" w:sz="4" w:space="0" w:color="auto"/>
            </w:tcBorders>
            <w:shd w:val="clear" w:color="auto" w:fill="FFFFFF"/>
            <w:vAlign w:val="bottom"/>
          </w:tcPr>
          <w:p w14:paraId="1A658A94" w14:textId="77777777" w:rsidR="006070FD" w:rsidRPr="00B5277D" w:rsidRDefault="006070FD" w:rsidP="006070FD">
            <w:pPr>
              <w:jc w:val="center"/>
              <w:rPr>
                <w:rFonts w:eastAsia="Calibri"/>
                <w:szCs w:val="22"/>
                <w:lang w:val="en-PH"/>
              </w:rPr>
            </w:pPr>
            <w:r w:rsidRPr="00B5277D">
              <w:rPr>
                <w:rFonts w:eastAsia="Calibri"/>
                <w:szCs w:val="22"/>
                <w:lang w:val="en-PH"/>
              </w:rPr>
              <w:t>0.271</w:t>
            </w:r>
          </w:p>
        </w:tc>
        <w:tc>
          <w:tcPr>
            <w:tcW w:w="1249" w:type="dxa"/>
            <w:tcBorders>
              <w:top w:val="nil"/>
              <w:left w:val="nil"/>
              <w:bottom w:val="single" w:sz="8" w:space="0" w:color="auto"/>
              <w:right w:val="single" w:sz="4" w:space="0" w:color="auto"/>
            </w:tcBorders>
            <w:shd w:val="clear" w:color="auto" w:fill="FFFFFF"/>
            <w:vAlign w:val="bottom"/>
          </w:tcPr>
          <w:p w14:paraId="4482093C" w14:textId="77777777" w:rsidR="006070FD" w:rsidRPr="00B5277D" w:rsidRDefault="006070FD" w:rsidP="006070FD">
            <w:pPr>
              <w:jc w:val="center"/>
              <w:rPr>
                <w:rFonts w:eastAsia="Calibri"/>
                <w:szCs w:val="22"/>
                <w:lang w:val="en-PH"/>
              </w:rPr>
            </w:pPr>
            <w:r w:rsidRPr="00B5277D">
              <w:rPr>
                <w:rFonts w:eastAsia="Calibri"/>
                <w:szCs w:val="22"/>
                <w:lang w:val="en-PH"/>
              </w:rPr>
              <w:t>1.14</w:t>
            </w:r>
          </w:p>
        </w:tc>
        <w:tc>
          <w:tcPr>
            <w:tcW w:w="1672" w:type="dxa"/>
            <w:tcBorders>
              <w:top w:val="nil"/>
              <w:left w:val="nil"/>
              <w:bottom w:val="single" w:sz="8" w:space="0" w:color="auto"/>
              <w:right w:val="single" w:sz="4" w:space="0" w:color="auto"/>
            </w:tcBorders>
            <w:shd w:val="clear" w:color="auto" w:fill="FFFFFF"/>
            <w:vAlign w:val="bottom"/>
          </w:tcPr>
          <w:p w14:paraId="4BA928D9" w14:textId="77777777" w:rsidR="006070FD" w:rsidRPr="00B5277D" w:rsidRDefault="006070FD" w:rsidP="006070FD">
            <w:pPr>
              <w:jc w:val="center"/>
              <w:rPr>
                <w:rFonts w:eastAsia="Calibri"/>
                <w:szCs w:val="22"/>
                <w:lang w:val="en-PH"/>
              </w:rPr>
            </w:pPr>
            <w:r w:rsidRPr="00B5277D">
              <w:rPr>
                <w:rFonts w:eastAsia="Calibri"/>
                <w:szCs w:val="22"/>
                <w:lang w:val="en-PH"/>
              </w:rPr>
              <w:t>Failed to Reject</w:t>
            </w:r>
          </w:p>
        </w:tc>
        <w:tc>
          <w:tcPr>
            <w:tcW w:w="938" w:type="dxa"/>
            <w:tcBorders>
              <w:top w:val="nil"/>
              <w:left w:val="nil"/>
              <w:bottom w:val="single" w:sz="8" w:space="0" w:color="auto"/>
              <w:right w:val="single" w:sz="8" w:space="0" w:color="auto"/>
            </w:tcBorders>
            <w:shd w:val="clear" w:color="auto" w:fill="FFFFFF"/>
            <w:vAlign w:val="bottom"/>
          </w:tcPr>
          <w:p w14:paraId="3390F5CF" w14:textId="77777777" w:rsidR="006070FD" w:rsidRPr="00B5277D" w:rsidRDefault="006070FD" w:rsidP="006070FD">
            <w:pPr>
              <w:jc w:val="center"/>
              <w:rPr>
                <w:rFonts w:eastAsia="Calibri"/>
                <w:szCs w:val="22"/>
                <w:lang w:val="en-PH"/>
              </w:rPr>
            </w:pPr>
            <w:r w:rsidRPr="00B5277D">
              <w:rPr>
                <w:rFonts w:eastAsia="Calibri"/>
                <w:szCs w:val="22"/>
                <w:lang w:val="en-PH"/>
              </w:rPr>
              <w:t>NS</w:t>
            </w:r>
          </w:p>
        </w:tc>
      </w:tr>
    </w:tbl>
    <w:p w14:paraId="0CD9C5A9" w14:textId="0E4F5371" w:rsidR="006070FD" w:rsidRPr="00B5277D" w:rsidRDefault="006070FD" w:rsidP="00843E64">
      <w:pPr>
        <w:spacing w:line="240" w:lineRule="auto"/>
        <w:ind w:left="1080"/>
        <w:jc w:val="both"/>
        <w:rPr>
          <w:rFonts w:ascii="Times New Roman" w:eastAsia="Calibri" w:hAnsi="Times New Roman" w:cs="Times New Roman"/>
          <w:bCs/>
          <w:sz w:val="20"/>
          <w:szCs w:val="22"/>
          <w:lang w:val="en-PH"/>
          <w14:ligatures w14:val="none"/>
        </w:rPr>
      </w:pPr>
      <w:r w:rsidRPr="00B5277D">
        <w:rPr>
          <w:rFonts w:ascii="Times New Roman" w:eastAsia="Calibri" w:hAnsi="Times New Roman" w:cs="Times New Roman"/>
          <w:bCs/>
          <w:sz w:val="20"/>
          <w:szCs w:val="22"/>
          <w:lang w:val="en-PH"/>
          <w14:ligatures w14:val="none"/>
        </w:rPr>
        <w:t>NS = Not Significance</w:t>
      </w:r>
      <w:r w:rsidR="00843E64">
        <w:rPr>
          <w:rFonts w:ascii="Times New Roman" w:eastAsia="Calibri" w:hAnsi="Times New Roman" w:cs="Times New Roman"/>
          <w:bCs/>
          <w:sz w:val="20"/>
          <w:szCs w:val="22"/>
          <w:lang w:val="en-PH"/>
          <w14:ligatures w14:val="none"/>
        </w:rPr>
        <w:t xml:space="preserve">, </w:t>
      </w:r>
      <w:r w:rsidRPr="00B5277D">
        <w:rPr>
          <w:rFonts w:ascii="Times New Roman" w:eastAsia="Calibri" w:hAnsi="Times New Roman" w:cs="Times New Roman"/>
          <w:bCs/>
          <w:sz w:val="20"/>
          <w:szCs w:val="22"/>
          <w:lang w:val="en-PH"/>
          <w14:ligatures w14:val="none"/>
        </w:rPr>
        <w:t>S = Significance</w:t>
      </w:r>
      <w:r w:rsidR="00843E64">
        <w:rPr>
          <w:rFonts w:ascii="Times New Roman" w:eastAsia="Calibri" w:hAnsi="Times New Roman" w:cs="Times New Roman"/>
          <w:bCs/>
          <w:sz w:val="20"/>
          <w:szCs w:val="22"/>
          <w:lang w:val="en-PH"/>
          <w14:ligatures w14:val="none"/>
        </w:rPr>
        <w:t xml:space="preserve">, </w:t>
      </w:r>
      <w:r w:rsidRPr="00B5277D">
        <w:rPr>
          <w:rFonts w:ascii="Times New Roman" w:eastAsia="Calibri" w:hAnsi="Times New Roman" w:cs="Times New Roman"/>
          <w:bCs/>
          <w:sz w:val="20"/>
          <w:szCs w:val="22"/>
          <w:lang w:val="en-PH"/>
          <w14:ligatures w14:val="none"/>
        </w:rPr>
        <w:t>*t-value</w:t>
      </w:r>
    </w:p>
    <w:p w14:paraId="19809D58"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Table 3 presents the results of a training needs assessment conducted to examine the differences in the familiarity of GFPS members with GAD concepts, mandates, and tools, based on their demographic profile variables. The findings indicate that there are significant differences in the level of understanding of GAD concepts and mandates with respect to sex, age, educational attainment, GFPS committee membership, number of years as a GFPS member, and campus location, as all these variables show p-values </w:t>
      </w:r>
      <w:r w:rsidRPr="006070FD">
        <w:rPr>
          <w:rFonts w:ascii="Times New Roman" w:eastAsia="SimSun" w:hAnsi="Times New Roman" w:cs="Times New Roman"/>
          <w:kern w:val="0"/>
          <w:sz w:val="22"/>
          <w:szCs w:val="22"/>
          <w:lang w:val="en-PH"/>
          <w14:ligatures w14:val="none"/>
        </w:rPr>
        <w:lastRenderedPageBreak/>
        <w:t>below 0.05. This means that the level of familiarity with GAD concepts and mandates varies according to these demographic characteristics, and the null hypothesis for each of these variables is rejected.</w:t>
      </w:r>
    </w:p>
    <w:p w14:paraId="7620EE3D"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In terms of GAD concepts, the data suggests that factors such as sex, age, educational attainment, and experience within the GFPS (number of years as a member) influence the degree of familiarity members have with these key concepts. For experience in the GFPS tend to be more familiar with GAD concepts. Similarly, members from different campuses and those occupying different positions in the GFPS also display varying levels of knowledge, indicating that certain demographic groups may be more exposed to training or more actively engaged in gender mainstreaming initiatives. </w:t>
      </w:r>
      <w:r w:rsidRPr="006070FD">
        <w:rPr>
          <w:rFonts w:ascii="Times New Roman" w:eastAsia="SimSun" w:hAnsi="Times New Roman" w:cs="Times New Roman"/>
          <w:i/>
          <w:iCs/>
          <w:kern w:val="0"/>
          <w:sz w:val="22"/>
          <w:szCs w:val="22"/>
          <w:lang w:val="en-PH"/>
          <w14:ligatures w14:val="none"/>
        </w:rPr>
        <w:t>Chant (2016)</w:t>
      </w:r>
      <w:r w:rsidRPr="006070FD">
        <w:rPr>
          <w:rFonts w:ascii="Times New Roman" w:eastAsia="SimSun" w:hAnsi="Times New Roman" w:cs="Times New Roman"/>
          <w:kern w:val="0"/>
          <w:sz w:val="22"/>
          <w:szCs w:val="22"/>
          <w:lang w:val="en-PH"/>
          <w14:ligatures w14:val="none"/>
        </w:rPr>
        <w:t xml:space="preserve"> asserts that familiarity with gender concepts often correlates with education and experience, as individuals with more knowledge or experience are more likely to have a deeper understanding of these issues. This is in line with the results, which suggest that more experienced and highly educated members are more likely to be familiar with GAD concepts and mandates.</w:t>
      </w:r>
    </w:p>
    <w:p w14:paraId="68609FFB"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Regarding GAD mandates, significant differences were observed based on sex, age, educational attainment, number of years as a GFPS member, and campus location, with p-values below 0.05. This implies that the level of awareness about national and international gender mandates, such as the Magna Carta of Women and the Sustainable Development Goals (SDGs), varies across demographic groups. </w:t>
      </w:r>
      <w:r w:rsidRPr="006070FD">
        <w:rPr>
          <w:rFonts w:ascii="Times New Roman" w:eastAsia="SimSun" w:hAnsi="Times New Roman" w:cs="Times New Roman"/>
          <w:i/>
          <w:iCs/>
          <w:kern w:val="0"/>
          <w:sz w:val="22"/>
          <w:szCs w:val="22"/>
          <w:lang w:val="en-PH"/>
          <w14:ligatures w14:val="none"/>
        </w:rPr>
        <w:t>Moser (2019)</w:t>
      </w:r>
      <w:r w:rsidRPr="006070FD">
        <w:rPr>
          <w:rFonts w:ascii="Times New Roman" w:eastAsia="SimSun" w:hAnsi="Times New Roman" w:cs="Times New Roman"/>
          <w:kern w:val="0"/>
          <w:sz w:val="22"/>
          <w:szCs w:val="22"/>
          <w:lang w:val="en-PH"/>
          <w14:ligatures w14:val="none"/>
        </w:rPr>
        <w:t xml:space="preserve"> notes that gender knowledge is often influenced by exposure to training programs and professional networks, which may differ across various groups within an organization. These differences highlight the importance of providing targeted training to specific groups, particularly those who may not have had sufficient exposure to these mandates, such as younger members or those with fewer years of experience.</w:t>
      </w:r>
    </w:p>
    <w:p w14:paraId="5DE649E8"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In contrast, the familiarity level with GAD tools, such as the </w:t>
      </w:r>
      <w:r w:rsidRPr="006070FD">
        <w:rPr>
          <w:rFonts w:ascii="Times New Roman" w:eastAsia="SimSun" w:hAnsi="Times New Roman" w:cs="Times New Roman"/>
          <w:i/>
          <w:iCs/>
          <w:kern w:val="0"/>
          <w:sz w:val="22"/>
          <w:szCs w:val="22"/>
          <w:lang w:val="en-PH"/>
          <w14:ligatures w14:val="none"/>
        </w:rPr>
        <w:t>Gender Mainstreaming Evaluation Framework</w:t>
      </w:r>
      <w:r w:rsidRPr="006070FD">
        <w:rPr>
          <w:rFonts w:ascii="Times New Roman" w:eastAsia="SimSun" w:hAnsi="Times New Roman" w:cs="Times New Roman"/>
          <w:kern w:val="0"/>
          <w:sz w:val="22"/>
          <w:szCs w:val="22"/>
          <w:lang w:val="en-PH"/>
          <w14:ligatures w14:val="none"/>
        </w:rPr>
        <w:t xml:space="preserve"> and </w:t>
      </w:r>
      <w:r w:rsidRPr="006070FD">
        <w:rPr>
          <w:rFonts w:ascii="Times New Roman" w:eastAsia="SimSun" w:hAnsi="Times New Roman" w:cs="Times New Roman"/>
          <w:i/>
          <w:iCs/>
          <w:kern w:val="0"/>
          <w:sz w:val="22"/>
          <w:szCs w:val="22"/>
          <w:lang w:val="en-PH"/>
          <w14:ligatures w14:val="none"/>
        </w:rPr>
        <w:t>Harmonized Gender and Development Guidelines</w:t>
      </w:r>
      <w:r w:rsidRPr="006070FD">
        <w:rPr>
          <w:rFonts w:ascii="Times New Roman" w:eastAsia="SimSun" w:hAnsi="Times New Roman" w:cs="Times New Roman"/>
          <w:kern w:val="0"/>
          <w:sz w:val="22"/>
          <w:szCs w:val="22"/>
          <w:lang w:val="en-PH"/>
          <w14:ligatures w14:val="none"/>
        </w:rPr>
        <w:t xml:space="preserve">, did not show significant differences based on sex, age, educational attainment, number of years as a GFPS member, or campus location. However, there was a significant difference when grouped according to the GFPS committee membership, with members from different committees showing varying levels of familiarity with these tools. The significant difference for the GFPS committee underscores the impact of specific training opportunities provided to these members. For instance, members of the Technical Working Group Committee may have had more opportunities to engage with GAD tools as part of their duties. This finding aligns with </w:t>
      </w:r>
      <w:r w:rsidRPr="006070FD">
        <w:rPr>
          <w:rFonts w:ascii="Times New Roman" w:eastAsia="SimSun" w:hAnsi="Times New Roman" w:cs="Times New Roman"/>
          <w:i/>
          <w:iCs/>
          <w:kern w:val="0"/>
          <w:sz w:val="22"/>
          <w:szCs w:val="22"/>
          <w:lang w:val="en-PH"/>
          <w14:ligatures w14:val="none"/>
        </w:rPr>
        <w:t>Kabeer (2019)</w:t>
      </w:r>
      <w:r w:rsidRPr="006070FD">
        <w:rPr>
          <w:rFonts w:ascii="Times New Roman" w:eastAsia="SimSun" w:hAnsi="Times New Roman" w:cs="Times New Roman"/>
          <w:kern w:val="0"/>
          <w:sz w:val="22"/>
          <w:szCs w:val="22"/>
          <w:lang w:val="en-PH"/>
          <w14:ligatures w14:val="none"/>
        </w:rPr>
        <w:t>, who argues that organizational roles and responsibilities significantly influence exposure to gender analysis tools and the capacity to use them effectively.</w:t>
      </w:r>
    </w:p>
    <w:p w14:paraId="66AE2E6F"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The lack of significant differences in familiarity with GAD tools based on sex, age, position, and campus suggests that these tools are less likely to be influenced by these demographic characteristics, possibly due to the fact that GAD tools are more technical and require specific training to be properly understood and utilized. This finding suggests that there is a need for more focused, comprehensive training programs for all members of the GFPS, regardless of their demographic background, to ensure that everyone has the same level of competency in using these tools. As </w:t>
      </w:r>
      <w:r w:rsidRPr="006070FD">
        <w:rPr>
          <w:rFonts w:ascii="Times New Roman" w:eastAsia="SimSun" w:hAnsi="Times New Roman" w:cs="Times New Roman"/>
          <w:i/>
          <w:iCs/>
          <w:kern w:val="0"/>
          <w:sz w:val="22"/>
          <w:szCs w:val="22"/>
          <w:lang w:val="en-PH"/>
          <w14:ligatures w14:val="none"/>
        </w:rPr>
        <w:t>Jütting and de laiglesia (2019)</w:t>
      </w:r>
      <w:r w:rsidRPr="006070FD">
        <w:rPr>
          <w:rFonts w:ascii="Times New Roman" w:eastAsia="SimSun" w:hAnsi="Times New Roman" w:cs="Times New Roman"/>
          <w:kern w:val="0"/>
          <w:sz w:val="22"/>
          <w:szCs w:val="22"/>
          <w:lang w:val="en-PH"/>
          <w14:ligatures w14:val="none"/>
        </w:rPr>
        <w:t xml:space="preserve"> emphasize, familiarity with gender analysis tools requires not just theoretical knowledge but also practical training to effectively apply them in real-world settings.</w:t>
      </w:r>
    </w:p>
    <w:p w14:paraId="616FD482" w14:textId="77777777" w:rsidR="00B5277D" w:rsidRDefault="006070FD" w:rsidP="00B5277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In conclusion, while there are significant variations in the familiarity of GFPS members with GAD concepts and mandates based on demographic variables, the findings also point to the need for more comprehensive and inclusive capacity-building programs that address the gaps in understanding GAD tools. Training should be tailored to the specific needs of different demographic groups to maximize effectiveness, ensuring that all GFPS members are equipped to apply</w:t>
      </w:r>
      <w:r w:rsidR="00B5277D">
        <w:rPr>
          <w:rFonts w:ascii="Times New Roman" w:eastAsia="SimSun" w:hAnsi="Times New Roman" w:cs="Times New Roman"/>
          <w:kern w:val="0"/>
          <w:sz w:val="22"/>
          <w:szCs w:val="22"/>
          <w:lang w:val="en-PH"/>
          <w14:ligatures w14:val="none"/>
        </w:rPr>
        <w:t xml:space="preserve"> gender analysis in their work.</w:t>
      </w:r>
    </w:p>
    <w:p w14:paraId="2A69ABDB" w14:textId="77777777" w:rsidR="00843E64" w:rsidRDefault="00B5277D" w:rsidP="00B5277D">
      <w:pPr>
        <w:widowControl w:val="0"/>
        <w:spacing w:line="240" w:lineRule="auto"/>
        <w:ind w:firstLine="567"/>
        <w:rPr>
          <w:rFonts w:ascii="Times New Roman" w:eastAsia="Calibri" w:hAnsi="Times New Roman" w:cs="Times New Roman"/>
          <w:b/>
          <w:sz w:val="22"/>
          <w:szCs w:val="22"/>
          <w:lang w:val="en-PH"/>
          <w14:ligatures w14:val="none"/>
        </w:rPr>
      </w:pPr>
      <w:r>
        <w:rPr>
          <w:rFonts w:ascii="Times New Roman" w:eastAsia="SimSun" w:hAnsi="Times New Roman" w:cs="Times New Roman"/>
          <w:kern w:val="0"/>
          <w:sz w:val="22"/>
          <w:szCs w:val="22"/>
          <w:lang w:val="en-PH"/>
          <w14:ligatures w14:val="none"/>
        </w:rPr>
        <w:br/>
      </w:r>
    </w:p>
    <w:p w14:paraId="24885C8B" w14:textId="77777777" w:rsidR="00843E64" w:rsidRDefault="00843E64" w:rsidP="00B5277D">
      <w:pPr>
        <w:widowControl w:val="0"/>
        <w:spacing w:line="240" w:lineRule="auto"/>
        <w:ind w:firstLine="567"/>
        <w:rPr>
          <w:rFonts w:ascii="Times New Roman" w:eastAsia="Calibri" w:hAnsi="Times New Roman" w:cs="Times New Roman"/>
          <w:b/>
          <w:sz w:val="22"/>
          <w:szCs w:val="22"/>
          <w:lang w:val="en-PH"/>
          <w14:ligatures w14:val="none"/>
        </w:rPr>
      </w:pPr>
    </w:p>
    <w:p w14:paraId="40C0B394" w14:textId="32F2B7F7" w:rsidR="006070FD" w:rsidRPr="00B5277D" w:rsidRDefault="00B5277D" w:rsidP="00843E64">
      <w:pPr>
        <w:rPr>
          <w:rFonts w:ascii="Times New Roman" w:eastAsia="Calibri" w:hAnsi="Times New Roman" w:cs="Times New Roman"/>
          <w:sz w:val="20"/>
          <w:szCs w:val="20"/>
          <w:lang w:val="en-PH"/>
          <w14:ligatures w14:val="none"/>
        </w:rPr>
      </w:pPr>
      <w:r>
        <w:rPr>
          <w:rFonts w:ascii="Times New Roman" w:eastAsia="Calibri" w:hAnsi="Times New Roman" w:cs="Times New Roman"/>
          <w:b/>
          <w:sz w:val="22"/>
          <w:szCs w:val="22"/>
          <w:lang w:val="en-PH"/>
          <w14:ligatures w14:val="none"/>
        </w:rPr>
        <w:lastRenderedPageBreak/>
        <w:t xml:space="preserve">4. </w:t>
      </w:r>
      <w:r w:rsidR="006070FD" w:rsidRPr="006070FD">
        <w:rPr>
          <w:rFonts w:ascii="Times New Roman" w:eastAsia="Calibri" w:hAnsi="Times New Roman" w:cs="Times New Roman"/>
          <w:b/>
          <w:sz w:val="22"/>
          <w:szCs w:val="22"/>
          <w:lang w:val="en-PH"/>
          <w14:ligatures w14:val="none"/>
        </w:rPr>
        <w:t>Capability-building program for GFPS members</w:t>
      </w:r>
      <w:r>
        <w:rPr>
          <w:rFonts w:ascii="Times New Roman" w:eastAsia="Calibri" w:hAnsi="Times New Roman" w:cs="Times New Roman"/>
          <w:b/>
          <w:sz w:val="22"/>
          <w:szCs w:val="22"/>
          <w:lang w:val="en-PH"/>
          <w14:ligatures w14:val="none"/>
        </w:rPr>
        <w:br/>
      </w:r>
      <w:r>
        <w:rPr>
          <w:rFonts w:ascii="Times New Roman" w:eastAsia="Calibri" w:hAnsi="Times New Roman" w:cs="Times New Roman"/>
          <w:bCs/>
          <w:i/>
          <w:iCs/>
          <w:sz w:val="22"/>
          <w:szCs w:val="22"/>
          <w:lang w:val="en-PH"/>
          <w14:ligatures w14:val="none"/>
        </w:rPr>
        <w:br/>
      </w:r>
      <w:r w:rsidR="006070FD" w:rsidRPr="00B5277D">
        <w:rPr>
          <w:rFonts w:ascii="Times New Roman" w:eastAsia="Calibri" w:hAnsi="Times New Roman" w:cs="Times New Roman"/>
          <w:bCs/>
          <w:iCs/>
          <w:sz w:val="20"/>
          <w:szCs w:val="20"/>
          <w:lang w:val="en-PH"/>
          <w14:ligatures w14:val="none"/>
        </w:rPr>
        <w:t xml:space="preserve">Table </w:t>
      </w:r>
      <w:r w:rsidR="006070FD" w:rsidRPr="00B5277D">
        <w:rPr>
          <w:rFonts w:ascii="Times New Roman" w:eastAsia="Calibri" w:hAnsi="Times New Roman" w:cs="Times New Roman"/>
          <w:bCs/>
          <w:iCs/>
          <w:sz w:val="20"/>
          <w:szCs w:val="20"/>
          <w14:ligatures w14:val="none"/>
        </w:rPr>
        <w:t>4</w:t>
      </w:r>
      <w:r w:rsidR="006070FD" w:rsidRPr="00B5277D">
        <w:rPr>
          <w:rFonts w:ascii="Times New Roman" w:eastAsia="Calibri" w:hAnsi="Times New Roman" w:cs="Times New Roman"/>
          <w:bCs/>
          <w:iCs/>
          <w:sz w:val="20"/>
          <w:szCs w:val="20"/>
          <w:lang w:val="en-PH"/>
          <w14:ligatures w14:val="none"/>
        </w:rPr>
        <w:t>.</w:t>
      </w:r>
      <w:r w:rsidR="006070FD" w:rsidRPr="00B5277D">
        <w:rPr>
          <w:rFonts w:ascii="Times New Roman" w:eastAsia="Calibri" w:hAnsi="Times New Roman" w:cs="Times New Roman"/>
          <w:bCs/>
          <w:i/>
          <w:iCs/>
          <w:sz w:val="20"/>
          <w:szCs w:val="20"/>
          <w:lang w:val="en-PH"/>
          <w14:ligatures w14:val="none"/>
        </w:rPr>
        <w:t xml:space="preserve"> </w:t>
      </w:r>
      <w:r w:rsidR="006070FD" w:rsidRPr="00B5277D">
        <w:rPr>
          <w:rFonts w:ascii="Times New Roman" w:eastAsia="Calibri" w:hAnsi="Times New Roman" w:cs="Times New Roman"/>
          <w:bCs/>
          <w:i/>
          <w:iCs/>
          <w:sz w:val="20"/>
          <w:szCs w:val="20"/>
          <w14:ligatures w14:val="none"/>
        </w:rPr>
        <w:t xml:space="preserve">The Five-Year GAD Capacity-building Program of Apayao State College </w:t>
      </w:r>
    </w:p>
    <w:tbl>
      <w:tblPr>
        <w:tblStyle w:val="TableGrid"/>
        <w:tblpPr w:leftFromText="180" w:rightFromText="180" w:vertAnchor="text" w:horzAnchor="page" w:tblpX="1436" w:tblpY="32"/>
        <w:tblOverlap w:val="never"/>
        <w:tblW w:w="9891" w:type="dxa"/>
        <w:tblLayout w:type="fixed"/>
        <w:tblLook w:val="0000" w:firstRow="0" w:lastRow="0" w:firstColumn="0" w:lastColumn="0" w:noHBand="0" w:noVBand="0"/>
      </w:tblPr>
      <w:tblGrid>
        <w:gridCol w:w="854"/>
        <w:gridCol w:w="1439"/>
        <w:gridCol w:w="2098"/>
        <w:gridCol w:w="2002"/>
        <w:gridCol w:w="1595"/>
        <w:gridCol w:w="1903"/>
      </w:tblGrid>
      <w:tr w:rsidR="006070FD" w:rsidRPr="00B5277D" w14:paraId="7FFADFB9" w14:textId="77777777" w:rsidTr="00B5277D">
        <w:tc>
          <w:tcPr>
            <w:tcW w:w="854" w:type="dxa"/>
            <w:vAlign w:val="center"/>
          </w:tcPr>
          <w:p w14:paraId="3BB5FD99" w14:textId="77777777" w:rsidR="006070FD" w:rsidRPr="00B5277D" w:rsidRDefault="006070FD" w:rsidP="00B5277D">
            <w:pPr>
              <w:jc w:val="center"/>
              <w:rPr>
                <w:rFonts w:eastAsia="Times New Roman"/>
                <w:bCs/>
                <w:lang w:val="en-PH"/>
              </w:rPr>
            </w:pPr>
            <w:r w:rsidRPr="00B5277D">
              <w:rPr>
                <w:bCs/>
                <w:lang w:eastAsia="zh-CN" w:bidi="ar"/>
              </w:rPr>
              <w:t>Year</w:t>
            </w:r>
          </w:p>
        </w:tc>
        <w:tc>
          <w:tcPr>
            <w:tcW w:w="1439" w:type="dxa"/>
            <w:vAlign w:val="center"/>
          </w:tcPr>
          <w:p w14:paraId="4FCE9F56" w14:textId="77777777" w:rsidR="006070FD" w:rsidRPr="00B5277D" w:rsidRDefault="006070FD" w:rsidP="00B5277D">
            <w:pPr>
              <w:jc w:val="center"/>
              <w:rPr>
                <w:rFonts w:eastAsia="Times New Roman"/>
                <w:bCs/>
                <w:lang w:val="en-PH"/>
              </w:rPr>
            </w:pPr>
            <w:r w:rsidRPr="00B5277D">
              <w:rPr>
                <w:bCs/>
                <w:lang w:eastAsia="zh-CN" w:bidi="ar"/>
              </w:rPr>
              <w:t>Focus Area</w:t>
            </w:r>
          </w:p>
        </w:tc>
        <w:tc>
          <w:tcPr>
            <w:tcW w:w="2098" w:type="dxa"/>
            <w:vAlign w:val="center"/>
          </w:tcPr>
          <w:p w14:paraId="44C38E64" w14:textId="77777777" w:rsidR="006070FD" w:rsidRPr="00B5277D" w:rsidRDefault="006070FD" w:rsidP="00B5277D">
            <w:pPr>
              <w:jc w:val="center"/>
              <w:rPr>
                <w:bCs/>
                <w:lang w:eastAsia="zh-CN" w:bidi="ar"/>
              </w:rPr>
            </w:pPr>
            <w:r w:rsidRPr="00B5277D">
              <w:rPr>
                <w:bCs/>
                <w:lang w:eastAsia="zh-CN" w:bidi="ar"/>
              </w:rPr>
              <w:t>Training/</w:t>
            </w:r>
          </w:p>
          <w:p w14:paraId="1D3A7E9A" w14:textId="77777777" w:rsidR="006070FD" w:rsidRPr="00B5277D" w:rsidRDefault="006070FD" w:rsidP="00B5277D">
            <w:pPr>
              <w:jc w:val="center"/>
              <w:rPr>
                <w:rFonts w:eastAsia="Times New Roman"/>
                <w:bCs/>
                <w:lang w:val="en-PH"/>
              </w:rPr>
            </w:pPr>
            <w:r w:rsidRPr="00B5277D">
              <w:rPr>
                <w:bCs/>
                <w:lang w:eastAsia="zh-CN" w:bidi="ar"/>
              </w:rPr>
              <w:t>Activity</w:t>
            </w:r>
          </w:p>
        </w:tc>
        <w:tc>
          <w:tcPr>
            <w:tcW w:w="2002" w:type="dxa"/>
            <w:vAlign w:val="center"/>
          </w:tcPr>
          <w:p w14:paraId="68179F7A" w14:textId="77777777" w:rsidR="006070FD" w:rsidRPr="00B5277D" w:rsidRDefault="006070FD" w:rsidP="00B5277D">
            <w:pPr>
              <w:jc w:val="center"/>
              <w:rPr>
                <w:rFonts w:eastAsia="Times New Roman"/>
                <w:bCs/>
                <w:lang w:val="en-PH"/>
              </w:rPr>
            </w:pPr>
            <w:r w:rsidRPr="00B5277D">
              <w:rPr>
                <w:bCs/>
                <w:lang w:eastAsia="zh-CN" w:bidi="ar"/>
              </w:rPr>
              <w:t>Objectives</w:t>
            </w:r>
          </w:p>
        </w:tc>
        <w:tc>
          <w:tcPr>
            <w:tcW w:w="1595" w:type="dxa"/>
            <w:vAlign w:val="center"/>
          </w:tcPr>
          <w:p w14:paraId="6D4DFABC" w14:textId="77777777" w:rsidR="006070FD" w:rsidRPr="00B5277D" w:rsidRDefault="006070FD" w:rsidP="00B5277D">
            <w:pPr>
              <w:jc w:val="center"/>
              <w:rPr>
                <w:rFonts w:eastAsia="Times New Roman"/>
                <w:bCs/>
                <w:lang w:val="en-PH"/>
              </w:rPr>
            </w:pPr>
            <w:r w:rsidRPr="00B5277D">
              <w:rPr>
                <w:bCs/>
                <w:lang w:eastAsia="zh-CN" w:bidi="ar"/>
              </w:rPr>
              <w:t>Expected Outcome</w:t>
            </w:r>
          </w:p>
        </w:tc>
        <w:tc>
          <w:tcPr>
            <w:tcW w:w="1903" w:type="dxa"/>
            <w:vAlign w:val="center"/>
          </w:tcPr>
          <w:p w14:paraId="63990252" w14:textId="77777777" w:rsidR="006070FD" w:rsidRPr="00B5277D" w:rsidRDefault="006070FD" w:rsidP="00B5277D">
            <w:pPr>
              <w:jc w:val="center"/>
              <w:rPr>
                <w:rFonts w:eastAsia="Times New Roman"/>
                <w:bCs/>
                <w:lang w:val="en-PH"/>
              </w:rPr>
            </w:pPr>
            <w:r w:rsidRPr="00B5277D">
              <w:rPr>
                <w:bCs/>
                <w:lang w:eastAsia="zh-CN" w:bidi="ar"/>
              </w:rPr>
              <w:t>Indicators</w:t>
            </w:r>
          </w:p>
        </w:tc>
      </w:tr>
      <w:tr w:rsidR="006070FD" w:rsidRPr="00B5277D" w14:paraId="57D290CF" w14:textId="77777777" w:rsidTr="00B5277D">
        <w:tc>
          <w:tcPr>
            <w:tcW w:w="854" w:type="dxa"/>
            <w:vAlign w:val="center"/>
          </w:tcPr>
          <w:p w14:paraId="5665B78A" w14:textId="77777777" w:rsidR="006070FD" w:rsidRPr="00B5277D" w:rsidRDefault="006070FD" w:rsidP="00B5277D">
            <w:pPr>
              <w:jc w:val="center"/>
              <w:rPr>
                <w:bCs/>
                <w:lang w:eastAsia="zh-CN" w:bidi="ar"/>
              </w:rPr>
            </w:pPr>
            <w:r w:rsidRPr="00B5277D">
              <w:rPr>
                <w:bCs/>
                <w:lang w:eastAsia="zh-CN" w:bidi="ar"/>
              </w:rPr>
              <w:t>1</w:t>
            </w:r>
          </w:p>
          <w:p w14:paraId="173F0260" w14:textId="77777777" w:rsidR="006070FD" w:rsidRPr="00B5277D" w:rsidRDefault="006070FD" w:rsidP="00B5277D">
            <w:pPr>
              <w:jc w:val="center"/>
              <w:rPr>
                <w:bCs/>
                <w:lang w:eastAsia="zh-CN" w:bidi="ar"/>
              </w:rPr>
            </w:pPr>
          </w:p>
          <w:p w14:paraId="674ADD29" w14:textId="77777777" w:rsidR="006070FD" w:rsidRPr="00B5277D" w:rsidRDefault="006070FD" w:rsidP="00B5277D">
            <w:pPr>
              <w:jc w:val="center"/>
              <w:rPr>
                <w:bCs/>
                <w:lang w:eastAsia="zh-CN" w:bidi="ar"/>
              </w:rPr>
            </w:pPr>
          </w:p>
          <w:p w14:paraId="3E136841" w14:textId="77777777" w:rsidR="006070FD" w:rsidRPr="00B5277D" w:rsidRDefault="006070FD" w:rsidP="00B5277D">
            <w:pPr>
              <w:jc w:val="center"/>
              <w:rPr>
                <w:bCs/>
                <w:lang w:eastAsia="zh-CN" w:bidi="ar"/>
              </w:rPr>
            </w:pPr>
          </w:p>
          <w:p w14:paraId="099350D8" w14:textId="77777777" w:rsidR="006070FD" w:rsidRPr="00B5277D" w:rsidRDefault="006070FD" w:rsidP="00B5277D">
            <w:pPr>
              <w:jc w:val="center"/>
              <w:rPr>
                <w:bCs/>
                <w:lang w:eastAsia="zh-CN" w:bidi="ar"/>
              </w:rPr>
            </w:pPr>
          </w:p>
          <w:p w14:paraId="73913007" w14:textId="77777777" w:rsidR="006070FD" w:rsidRPr="00B5277D" w:rsidRDefault="006070FD" w:rsidP="00B5277D">
            <w:pPr>
              <w:jc w:val="center"/>
              <w:rPr>
                <w:bCs/>
                <w:lang w:eastAsia="zh-CN" w:bidi="ar"/>
              </w:rPr>
            </w:pPr>
          </w:p>
          <w:p w14:paraId="23EC7A46" w14:textId="77777777" w:rsidR="006070FD" w:rsidRPr="00B5277D" w:rsidRDefault="006070FD" w:rsidP="00B5277D">
            <w:pPr>
              <w:jc w:val="center"/>
              <w:rPr>
                <w:bCs/>
                <w:lang w:eastAsia="zh-CN" w:bidi="ar"/>
              </w:rPr>
            </w:pPr>
          </w:p>
          <w:p w14:paraId="421BA17A" w14:textId="77777777" w:rsidR="006070FD" w:rsidRPr="00B5277D" w:rsidRDefault="006070FD" w:rsidP="00B5277D">
            <w:pPr>
              <w:jc w:val="center"/>
              <w:rPr>
                <w:bCs/>
                <w:lang w:eastAsia="zh-CN" w:bidi="ar"/>
              </w:rPr>
            </w:pPr>
          </w:p>
          <w:p w14:paraId="390E9B30" w14:textId="77777777" w:rsidR="006070FD" w:rsidRPr="00B5277D" w:rsidRDefault="006070FD" w:rsidP="00B5277D">
            <w:pPr>
              <w:jc w:val="center"/>
              <w:rPr>
                <w:bCs/>
                <w:lang w:eastAsia="zh-CN" w:bidi="ar"/>
              </w:rPr>
            </w:pPr>
          </w:p>
          <w:p w14:paraId="0064606D" w14:textId="77777777" w:rsidR="006070FD" w:rsidRPr="00B5277D" w:rsidRDefault="006070FD" w:rsidP="00B5277D">
            <w:pPr>
              <w:jc w:val="center"/>
              <w:rPr>
                <w:bCs/>
                <w:lang w:eastAsia="zh-CN" w:bidi="ar"/>
              </w:rPr>
            </w:pPr>
          </w:p>
          <w:p w14:paraId="25D3DCDD" w14:textId="77777777" w:rsidR="006070FD" w:rsidRPr="00B5277D" w:rsidRDefault="006070FD" w:rsidP="00B5277D">
            <w:pPr>
              <w:jc w:val="center"/>
              <w:rPr>
                <w:bCs/>
                <w:lang w:val="en-PH" w:bidi="ar"/>
              </w:rPr>
            </w:pPr>
          </w:p>
        </w:tc>
        <w:tc>
          <w:tcPr>
            <w:tcW w:w="1439" w:type="dxa"/>
          </w:tcPr>
          <w:p w14:paraId="4BCCC4A8" w14:textId="77777777" w:rsidR="006070FD" w:rsidRPr="00B5277D" w:rsidRDefault="006070FD" w:rsidP="00B5277D">
            <w:pPr>
              <w:rPr>
                <w:rFonts w:eastAsia="Times New Roman"/>
                <w:lang w:val="en-PH"/>
              </w:rPr>
            </w:pPr>
            <w:r w:rsidRPr="00B5277D">
              <w:rPr>
                <w:bCs/>
                <w:lang w:eastAsia="zh-CN" w:bidi="ar"/>
              </w:rPr>
              <w:t>Introduction to GAD Concepts</w:t>
            </w:r>
          </w:p>
        </w:tc>
        <w:tc>
          <w:tcPr>
            <w:tcW w:w="2098" w:type="dxa"/>
          </w:tcPr>
          <w:p w14:paraId="09A13601" w14:textId="77777777" w:rsidR="006070FD" w:rsidRPr="00B5277D" w:rsidRDefault="006070FD" w:rsidP="00B5277D">
            <w:pPr>
              <w:numPr>
                <w:ilvl w:val="0"/>
                <w:numId w:val="23"/>
              </w:numPr>
              <w:tabs>
                <w:tab w:val="left" w:pos="420"/>
              </w:tabs>
              <w:rPr>
                <w:rFonts w:eastAsia="Times New Roman"/>
                <w:lang w:val="en-PH"/>
              </w:rPr>
            </w:pPr>
            <w:r w:rsidRPr="00B5277D">
              <w:rPr>
                <w:lang w:eastAsia="zh-CN" w:bidi="ar"/>
              </w:rPr>
              <w:t>GAD Concepts Orientation (Gender Equality, Gender Equity, etc.)</w:t>
            </w:r>
          </w:p>
          <w:p w14:paraId="08A17718" w14:textId="77777777" w:rsidR="006070FD" w:rsidRPr="00B5277D" w:rsidRDefault="006070FD" w:rsidP="00B5277D">
            <w:pPr>
              <w:numPr>
                <w:ilvl w:val="0"/>
                <w:numId w:val="23"/>
              </w:numPr>
              <w:tabs>
                <w:tab w:val="left" w:pos="420"/>
              </w:tabs>
              <w:rPr>
                <w:rFonts w:eastAsia="Times New Roman"/>
                <w:lang w:val="en-PH"/>
              </w:rPr>
            </w:pPr>
            <w:r w:rsidRPr="00B5277D">
              <w:rPr>
                <w:lang w:eastAsia="zh-CN" w:bidi="ar"/>
              </w:rPr>
              <w:t>Gender Sensitivity Workshop</w:t>
            </w:r>
          </w:p>
          <w:p w14:paraId="35628612" w14:textId="77777777" w:rsidR="006070FD" w:rsidRPr="00B5277D" w:rsidRDefault="006070FD" w:rsidP="00B5277D">
            <w:pPr>
              <w:numPr>
                <w:ilvl w:val="0"/>
                <w:numId w:val="23"/>
              </w:numPr>
              <w:tabs>
                <w:tab w:val="left" w:pos="420"/>
              </w:tabs>
              <w:rPr>
                <w:rFonts w:eastAsia="Times New Roman"/>
                <w:lang w:val="en-PH"/>
              </w:rPr>
            </w:pPr>
            <w:r w:rsidRPr="00B5277D">
              <w:rPr>
                <w:lang w:eastAsia="zh-CN" w:bidi="ar"/>
              </w:rPr>
              <w:t>Understanding Gender Roles</w:t>
            </w:r>
          </w:p>
        </w:tc>
        <w:tc>
          <w:tcPr>
            <w:tcW w:w="2002" w:type="dxa"/>
          </w:tcPr>
          <w:p w14:paraId="1FBE3CC7" w14:textId="77777777" w:rsidR="006070FD" w:rsidRPr="00B5277D" w:rsidRDefault="006070FD" w:rsidP="00B5277D">
            <w:pPr>
              <w:numPr>
                <w:ilvl w:val="0"/>
                <w:numId w:val="23"/>
              </w:numPr>
              <w:tabs>
                <w:tab w:val="left" w:pos="420"/>
              </w:tabs>
              <w:rPr>
                <w:rFonts w:eastAsia="Times New Roman"/>
                <w:lang w:val="en-PH"/>
              </w:rPr>
            </w:pPr>
            <w:r w:rsidRPr="00B5277D">
              <w:rPr>
                <w:lang w:eastAsia="zh-CN" w:bidi="ar"/>
              </w:rPr>
              <w:t>To introduce GFPS members to basic GAD concepts</w:t>
            </w:r>
          </w:p>
          <w:p w14:paraId="602E68C5" w14:textId="77777777" w:rsidR="006070FD" w:rsidRPr="00B5277D" w:rsidRDefault="006070FD" w:rsidP="00B5277D">
            <w:pPr>
              <w:numPr>
                <w:ilvl w:val="0"/>
                <w:numId w:val="23"/>
              </w:numPr>
              <w:tabs>
                <w:tab w:val="left" w:pos="420"/>
              </w:tabs>
              <w:rPr>
                <w:rFonts w:eastAsia="Times New Roman"/>
                <w:lang w:val="en-PH"/>
              </w:rPr>
            </w:pPr>
            <w:r w:rsidRPr="00B5277D">
              <w:rPr>
                <w:lang w:eastAsia="zh-CN" w:bidi="ar"/>
              </w:rPr>
              <w:t>Raise awareness of gender sensitivity and inclusivity</w:t>
            </w:r>
          </w:p>
        </w:tc>
        <w:tc>
          <w:tcPr>
            <w:tcW w:w="1595" w:type="dxa"/>
          </w:tcPr>
          <w:p w14:paraId="6F763C88" w14:textId="77777777" w:rsidR="006070FD" w:rsidRPr="00B5277D" w:rsidRDefault="006070FD" w:rsidP="00B5277D">
            <w:pPr>
              <w:numPr>
                <w:ilvl w:val="0"/>
                <w:numId w:val="23"/>
              </w:numPr>
              <w:tabs>
                <w:tab w:val="left" w:pos="420"/>
              </w:tabs>
              <w:rPr>
                <w:rFonts w:eastAsia="Times New Roman"/>
                <w:lang w:val="en-PH"/>
              </w:rPr>
            </w:pPr>
            <w:r w:rsidRPr="00B5277D">
              <w:rPr>
                <w:lang w:eastAsia="zh-CN" w:bidi="ar"/>
              </w:rPr>
              <w:t>Increased understanding of GAD concepts</w:t>
            </w:r>
          </w:p>
          <w:p w14:paraId="25FD2DFC" w14:textId="77777777" w:rsidR="006070FD" w:rsidRPr="00B5277D" w:rsidRDefault="006070FD" w:rsidP="00B5277D">
            <w:pPr>
              <w:numPr>
                <w:ilvl w:val="0"/>
                <w:numId w:val="23"/>
              </w:numPr>
              <w:tabs>
                <w:tab w:val="left" w:pos="420"/>
              </w:tabs>
              <w:rPr>
                <w:rFonts w:eastAsia="Times New Roman"/>
                <w:lang w:val="en-PH"/>
              </w:rPr>
            </w:pPr>
            <w:r w:rsidRPr="00B5277D">
              <w:rPr>
                <w:lang w:eastAsia="zh-CN" w:bidi="ar"/>
              </w:rPr>
              <w:t>Heightened gender sensitivity</w:t>
            </w:r>
          </w:p>
        </w:tc>
        <w:tc>
          <w:tcPr>
            <w:tcW w:w="1903" w:type="dxa"/>
          </w:tcPr>
          <w:p w14:paraId="7CD9EAB2" w14:textId="77777777" w:rsidR="006070FD" w:rsidRPr="00B5277D" w:rsidRDefault="006070FD" w:rsidP="00B5277D">
            <w:pPr>
              <w:numPr>
                <w:ilvl w:val="0"/>
                <w:numId w:val="23"/>
              </w:numPr>
              <w:tabs>
                <w:tab w:val="left" w:pos="420"/>
              </w:tabs>
              <w:rPr>
                <w:rFonts w:eastAsia="Times New Roman"/>
                <w:lang w:val="en-PH"/>
              </w:rPr>
            </w:pPr>
            <w:r w:rsidRPr="00B5277D">
              <w:rPr>
                <w:lang w:eastAsia="zh-CN" w:bidi="ar"/>
              </w:rPr>
              <w:t>Pre- and post-training assessment scores</w:t>
            </w:r>
          </w:p>
          <w:p w14:paraId="4F0D99D0" w14:textId="77777777" w:rsidR="006070FD" w:rsidRPr="00B5277D" w:rsidRDefault="006070FD" w:rsidP="00B5277D">
            <w:pPr>
              <w:numPr>
                <w:ilvl w:val="0"/>
                <w:numId w:val="23"/>
              </w:numPr>
              <w:tabs>
                <w:tab w:val="left" w:pos="420"/>
              </w:tabs>
              <w:rPr>
                <w:rFonts w:eastAsia="Times New Roman"/>
                <w:lang w:val="en-PH"/>
              </w:rPr>
            </w:pPr>
            <w:r w:rsidRPr="00B5277D">
              <w:rPr>
                <w:lang w:eastAsia="zh-CN" w:bidi="ar"/>
              </w:rPr>
              <w:t>Participant feedback surveys on knowledge improvement</w:t>
            </w:r>
          </w:p>
        </w:tc>
      </w:tr>
      <w:tr w:rsidR="006070FD" w:rsidRPr="00B5277D" w14:paraId="0C67A41F" w14:textId="77777777" w:rsidTr="00B5277D">
        <w:tc>
          <w:tcPr>
            <w:tcW w:w="854" w:type="dxa"/>
            <w:vAlign w:val="center"/>
          </w:tcPr>
          <w:p w14:paraId="440A43A5" w14:textId="77777777" w:rsidR="006070FD" w:rsidRPr="00B5277D" w:rsidRDefault="006070FD" w:rsidP="00B5277D">
            <w:pPr>
              <w:jc w:val="center"/>
              <w:rPr>
                <w:rFonts w:eastAsia="Times New Roman"/>
                <w:lang w:val="en-PH"/>
              </w:rPr>
            </w:pPr>
          </w:p>
        </w:tc>
        <w:tc>
          <w:tcPr>
            <w:tcW w:w="1439" w:type="dxa"/>
          </w:tcPr>
          <w:p w14:paraId="58D1E0BD" w14:textId="77777777" w:rsidR="006070FD" w:rsidRPr="00B5277D" w:rsidRDefault="006070FD" w:rsidP="00B5277D">
            <w:pPr>
              <w:rPr>
                <w:rFonts w:eastAsia="Times New Roman"/>
                <w:lang w:val="en-PH"/>
              </w:rPr>
            </w:pPr>
            <w:r w:rsidRPr="00B5277D">
              <w:rPr>
                <w:bCs/>
                <w:lang w:eastAsia="zh-CN" w:bidi="ar"/>
              </w:rPr>
              <w:t>Familiarization with Key International &amp; National GAD Mandates</w:t>
            </w:r>
          </w:p>
        </w:tc>
        <w:tc>
          <w:tcPr>
            <w:tcW w:w="2098" w:type="dxa"/>
          </w:tcPr>
          <w:p w14:paraId="06A79DA9" w14:textId="77777777" w:rsidR="006070FD" w:rsidRPr="00B5277D" w:rsidRDefault="006070FD" w:rsidP="00B5277D">
            <w:pPr>
              <w:numPr>
                <w:ilvl w:val="0"/>
                <w:numId w:val="24"/>
              </w:numPr>
              <w:tabs>
                <w:tab w:val="left" w:pos="420"/>
              </w:tabs>
              <w:rPr>
                <w:rFonts w:eastAsia="Times New Roman"/>
                <w:lang w:val="en-PH"/>
              </w:rPr>
            </w:pPr>
            <w:r w:rsidRPr="00B5277D">
              <w:rPr>
                <w:lang w:eastAsia="zh-CN" w:bidi="ar"/>
              </w:rPr>
              <w:t>Workshop on International Mandates (CEDAW, BPfA, SDGs)</w:t>
            </w:r>
          </w:p>
          <w:p w14:paraId="67581E8E" w14:textId="77777777" w:rsidR="006070FD" w:rsidRPr="00B5277D" w:rsidRDefault="006070FD" w:rsidP="00B5277D">
            <w:pPr>
              <w:numPr>
                <w:ilvl w:val="0"/>
                <w:numId w:val="24"/>
              </w:numPr>
              <w:tabs>
                <w:tab w:val="left" w:pos="420"/>
              </w:tabs>
              <w:rPr>
                <w:rFonts w:eastAsia="Times New Roman"/>
                <w:lang w:val="en-PH"/>
              </w:rPr>
            </w:pPr>
            <w:r w:rsidRPr="00B5277D">
              <w:rPr>
                <w:lang w:eastAsia="zh-CN" w:bidi="ar"/>
              </w:rPr>
              <w:t>Training on National GAD Mandates (RA 9262, RA 9710, Magna Carta of Women)</w:t>
            </w:r>
          </w:p>
        </w:tc>
        <w:tc>
          <w:tcPr>
            <w:tcW w:w="2002" w:type="dxa"/>
          </w:tcPr>
          <w:p w14:paraId="3A991656" w14:textId="77777777" w:rsidR="006070FD" w:rsidRPr="00B5277D" w:rsidRDefault="006070FD" w:rsidP="00B5277D">
            <w:pPr>
              <w:numPr>
                <w:ilvl w:val="0"/>
                <w:numId w:val="24"/>
              </w:numPr>
              <w:tabs>
                <w:tab w:val="left" w:pos="420"/>
              </w:tabs>
              <w:rPr>
                <w:rFonts w:eastAsia="Times New Roman"/>
                <w:lang w:val="en-PH"/>
              </w:rPr>
            </w:pPr>
            <w:r w:rsidRPr="00B5277D">
              <w:rPr>
                <w:lang w:eastAsia="zh-CN" w:bidi="ar"/>
              </w:rPr>
              <w:t>To familiarize members with key international and national GAD frameworks and policies</w:t>
            </w:r>
          </w:p>
        </w:tc>
        <w:tc>
          <w:tcPr>
            <w:tcW w:w="1595" w:type="dxa"/>
          </w:tcPr>
          <w:p w14:paraId="1DFAB889" w14:textId="77777777" w:rsidR="006070FD" w:rsidRPr="00B5277D" w:rsidRDefault="006070FD" w:rsidP="00B5277D">
            <w:pPr>
              <w:numPr>
                <w:ilvl w:val="0"/>
                <w:numId w:val="24"/>
              </w:numPr>
              <w:tabs>
                <w:tab w:val="left" w:pos="420"/>
              </w:tabs>
              <w:rPr>
                <w:rFonts w:eastAsia="Times New Roman"/>
                <w:lang w:val="en-PH"/>
              </w:rPr>
            </w:pPr>
            <w:r w:rsidRPr="00B5277D">
              <w:rPr>
                <w:lang w:eastAsia="zh-CN" w:bidi="ar"/>
              </w:rPr>
              <w:t>Enhanced knowledge of GAD mandates</w:t>
            </w:r>
          </w:p>
        </w:tc>
        <w:tc>
          <w:tcPr>
            <w:tcW w:w="1903" w:type="dxa"/>
          </w:tcPr>
          <w:p w14:paraId="36862AB3" w14:textId="77777777" w:rsidR="006070FD" w:rsidRPr="00B5277D" w:rsidRDefault="006070FD" w:rsidP="00B5277D">
            <w:pPr>
              <w:numPr>
                <w:ilvl w:val="0"/>
                <w:numId w:val="24"/>
              </w:numPr>
              <w:tabs>
                <w:tab w:val="left" w:pos="420"/>
              </w:tabs>
              <w:rPr>
                <w:rFonts w:eastAsia="Times New Roman"/>
                <w:lang w:val="en-PH"/>
              </w:rPr>
            </w:pPr>
            <w:r w:rsidRPr="00B5277D">
              <w:rPr>
                <w:lang w:eastAsia="zh-CN" w:bidi="ar"/>
              </w:rPr>
              <w:t>Post-training quiz on national/international mandates</w:t>
            </w:r>
          </w:p>
          <w:p w14:paraId="5420E114" w14:textId="77777777" w:rsidR="006070FD" w:rsidRPr="00B5277D" w:rsidRDefault="006070FD" w:rsidP="00B5277D">
            <w:pPr>
              <w:numPr>
                <w:ilvl w:val="0"/>
                <w:numId w:val="24"/>
              </w:numPr>
              <w:tabs>
                <w:tab w:val="left" w:pos="420"/>
              </w:tabs>
              <w:rPr>
                <w:rFonts w:eastAsia="Times New Roman"/>
                <w:lang w:val="en-PH"/>
              </w:rPr>
            </w:pPr>
            <w:r w:rsidRPr="00B5277D">
              <w:rPr>
                <w:lang w:eastAsia="zh-CN" w:bidi="ar"/>
              </w:rPr>
              <w:t>Number of members demonstrating the application of mandates in work contexts</w:t>
            </w:r>
          </w:p>
        </w:tc>
      </w:tr>
      <w:tr w:rsidR="006070FD" w:rsidRPr="00B5277D" w14:paraId="78D10671" w14:textId="77777777" w:rsidTr="00B5277D">
        <w:tc>
          <w:tcPr>
            <w:tcW w:w="854" w:type="dxa"/>
            <w:vAlign w:val="center"/>
          </w:tcPr>
          <w:p w14:paraId="7F0FE34B" w14:textId="77777777" w:rsidR="006070FD" w:rsidRPr="00B5277D" w:rsidRDefault="006070FD" w:rsidP="00B5277D">
            <w:pPr>
              <w:jc w:val="center"/>
              <w:rPr>
                <w:bCs/>
                <w:lang w:eastAsia="zh-CN" w:bidi="ar"/>
              </w:rPr>
            </w:pPr>
            <w:r w:rsidRPr="00B5277D">
              <w:rPr>
                <w:bCs/>
                <w:lang w:eastAsia="zh-CN" w:bidi="ar"/>
              </w:rPr>
              <w:t>2</w:t>
            </w:r>
          </w:p>
          <w:p w14:paraId="1F8FB0A1" w14:textId="77777777" w:rsidR="006070FD" w:rsidRPr="00B5277D" w:rsidRDefault="006070FD" w:rsidP="00B5277D">
            <w:pPr>
              <w:jc w:val="center"/>
              <w:rPr>
                <w:bCs/>
                <w:lang w:eastAsia="zh-CN" w:bidi="ar"/>
              </w:rPr>
            </w:pPr>
          </w:p>
          <w:p w14:paraId="6677D80B" w14:textId="77777777" w:rsidR="006070FD" w:rsidRPr="00B5277D" w:rsidRDefault="006070FD" w:rsidP="00B5277D">
            <w:pPr>
              <w:jc w:val="center"/>
              <w:rPr>
                <w:bCs/>
                <w:lang w:eastAsia="zh-CN" w:bidi="ar"/>
              </w:rPr>
            </w:pPr>
          </w:p>
          <w:p w14:paraId="1EA809BF" w14:textId="77777777" w:rsidR="006070FD" w:rsidRPr="00B5277D" w:rsidRDefault="006070FD" w:rsidP="00B5277D">
            <w:pPr>
              <w:jc w:val="center"/>
              <w:rPr>
                <w:bCs/>
                <w:lang w:eastAsia="zh-CN" w:bidi="ar"/>
              </w:rPr>
            </w:pPr>
          </w:p>
          <w:p w14:paraId="2F8A9F82" w14:textId="77777777" w:rsidR="006070FD" w:rsidRPr="00B5277D" w:rsidRDefault="006070FD" w:rsidP="00B5277D">
            <w:pPr>
              <w:jc w:val="center"/>
              <w:rPr>
                <w:bCs/>
                <w:lang w:eastAsia="zh-CN" w:bidi="ar"/>
              </w:rPr>
            </w:pPr>
          </w:p>
          <w:p w14:paraId="7415FDC3" w14:textId="77777777" w:rsidR="006070FD" w:rsidRPr="00B5277D" w:rsidRDefault="006070FD" w:rsidP="00B5277D">
            <w:pPr>
              <w:jc w:val="center"/>
              <w:rPr>
                <w:bCs/>
                <w:lang w:eastAsia="zh-CN" w:bidi="ar"/>
              </w:rPr>
            </w:pPr>
          </w:p>
          <w:p w14:paraId="0AB5233F" w14:textId="77777777" w:rsidR="006070FD" w:rsidRPr="00B5277D" w:rsidRDefault="006070FD" w:rsidP="00B5277D">
            <w:pPr>
              <w:jc w:val="center"/>
              <w:rPr>
                <w:bCs/>
                <w:lang w:eastAsia="zh-CN" w:bidi="ar"/>
              </w:rPr>
            </w:pPr>
          </w:p>
          <w:p w14:paraId="6215CFAC" w14:textId="77777777" w:rsidR="006070FD" w:rsidRPr="00B5277D" w:rsidRDefault="006070FD" w:rsidP="00B5277D">
            <w:pPr>
              <w:jc w:val="center"/>
              <w:rPr>
                <w:bCs/>
                <w:lang w:eastAsia="zh-CN" w:bidi="ar"/>
              </w:rPr>
            </w:pPr>
          </w:p>
          <w:p w14:paraId="79CCE4A1" w14:textId="77777777" w:rsidR="006070FD" w:rsidRPr="00B5277D" w:rsidRDefault="006070FD" w:rsidP="00B5277D">
            <w:pPr>
              <w:jc w:val="center"/>
              <w:rPr>
                <w:bCs/>
                <w:lang w:eastAsia="zh-CN" w:bidi="ar"/>
              </w:rPr>
            </w:pPr>
          </w:p>
          <w:p w14:paraId="446BEAF3" w14:textId="77777777" w:rsidR="006070FD" w:rsidRPr="00B5277D" w:rsidRDefault="006070FD" w:rsidP="00B5277D">
            <w:pPr>
              <w:jc w:val="center"/>
              <w:rPr>
                <w:bCs/>
                <w:lang w:val="en-PH" w:bidi="ar"/>
              </w:rPr>
            </w:pPr>
          </w:p>
        </w:tc>
        <w:tc>
          <w:tcPr>
            <w:tcW w:w="1439" w:type="dxa"/>
          </w:tcPr>
          <w:p w14:paraId="7B214CDB" w14:textId="77777777" w:rsidR="006070FD" w:rsidRPr="00B5277D" w:rsidRDefault="006070FD" w:rsidP="00B5277D">
            <w:pPr>
              <w:rPr>
                <w:rFonts w:eastAsia="Times New Roman"/>
                <w:lang w:val="en-PH"/>
              </w:rPr>
            </w:pPr>
            <w:r w:rsidRPr="00B5277D">
              <w:rPr>
                <w:bCs/>
                <w:lang w:eastAsia="zh-CN" w:bidi="ar"/>
              </w:rPr>
              <w:t>Deepening Knowledge of Gender Analysis &amp; Gender Mainstreaming</w:t>
            </w:r>
          </w:p>
        </w:tc>
        <w:tc>
          <w:tcPr>
            <w:tcW w:w="2098" w:type="dxa"/>
          </w:tcPr>
          <w:p w14:paraId="478E72EE" w14:textId="77777777" w:rsidR="006070FD" w:rsidRPr="00B5277D" w:rsidRDefault="006070FD" w:rsidP="00B5277D">
            <w:pPr>
              <w:numPr>
                <w:ilvl w:val="0"/>
                <w:numId w:val="25"/>
              </w:numPr>
              <w:tabs>
                <w:tab w:val="left" w:pos="420"/>
              </w:tabs>
              <w:rPr>
                <w:rFonts w:eastAsia="Times New Roman"/>
                <w:lang w:val="en-PH"/>
              </w:rPr>
            </w:pPr>
            <w:r w:rsidRPr="00B5277D">
              <w:rPr>
                <w:lang w:eastAsia="zh-CN" w:bidi="ar"/>
              </w:rPr>
              <w:t>Workshop on Gender Analysis Tools (GMEF, HGDG)</w:t>
            </w:r>
          </w:p>
          <w:p w14:paraId="3EDBFA97" w14:textId="77777777" w:rsidR="006070FD" w:rsidRPr="00B5277D" w:rsidRDefault="006070FD" w:rsidP="00B5277D">
            <w:pPr>
              <w:numPr>
                <w:ilvl w:val="0"/>
                <w:numId w:val="25"/>
              </w:numPr>
              <w:tabs>
                <w:tab w:val="left" w:pos="420"/>
              </w:tabs>
              <w:rPr>
                <w:rFonts w:eastAsia="Times New Roman"/>
                <w:lang w:val="en-PH"/>
              </w:rPr>
            </w:pPr>
            <w:r w:rsidRPr="00B5277D">
              <w:rPr>
                <w:lang w:eastAsia="zh-CN" w:bidi="ar"/>
              </w:rPr>
              <w:t>Gender Mainstreaming Orientation</w:t>
            </w:r>
          </w:p>
        </w:tc>
        <w:tc>
          <w:tcPr>
            <w:tcW w:w="2002" w:type="dxa"/>
          </w:tcPr>
          <w:p w14:paraId="18293C70" w14:textId="77777777" w:rsidR="006070FD" w:rsidRPr="00B5277D" w:rsidRDefault="006070FD" w:rsidP="00B5277D">
            <w:pPr>
              <w:numPr>
                <w:ilvl w:val="0"/>
                <w:numId w:val="25"/>
              </w:numPr>
              <w:tabs>
                <w:tab w:val="left" w:pos="420"/>
              </w:tabs>
              <w:rPr>
                <w:rFonts w:eastAsia="Times New Roman"/>
                <w:lang w:val="en-PH"/>
              </w:rPr>
            </w:pPr>
            <w:r w:rsidRPr="00B5277D">
              <w:rPr>
                <w:lang w:eastAsia="zh-CN" w:bidi="ar"/>
              </w:rPr>
              <w:t>To deepen knowledge of gender analysis frameworks and mainstreaming strategies</w:t>
            </w:r>
          </w:p>
        </w:tc>
        <w:tc>
          <w:tcPr>
            <w:tcW w:w="1595" w:type="dxa"/>
          </w:tcPr>
          <w:p w14:paraId="01005667" w14:textId="77777777" w:rsidR="006070FD" w:rsidRPr="00B5277D" w:rsidRDefault="006070FD" w:rsidP="00B5277D">
            <w:pPr>
              <w:numPr>
                <w:ilvl w:val="0"/>
                <w:numId w:val="25"/>
              </w:numPr>
              <w:tabs>
                <w:tab w:val="left" w:pos="420"/>
              </w:tabs>
              <w:rPr>
                <w:rFonts w:eastAsia="Times New Roman"/>
                <w:lang w:val="en-PH"/>
              </w:rPr>
            </w:pPr>
            <w:r w:rsidRPr="00B5277D">
              <w:rPr>
                <w:lang w:eastAsia="zh-CN" w:bidi="ar"/>
              </w:rPr>
              <w:t>Increased proficiency in gender analysis and mainstreaming</w:t>
            </w:r>
          </w:p>
        </w:tc>
        <w:tc>
          <w:tcPr>
            <w:tcW w:w="1903" w:type="dxa"/>
          </w:tcPr>
          <w:p w14:paraId="04FF6C5D" w14:textId="77777777" w:rsidR="006070FD" w:rsidRPr="00B5277D" w:rsidRDefault="006070FD" w:rsidP="00B5277D">
            <w:pPr>
              <w:numPr>
                <w:ilvl w:val="0"/>
                <w:numId w:val="25"/>
              </w:numPr>
              <w:tabs>
                <w:tab w:val="left" w:pos="420"/>
              </w:tabs>
              <w:rPr>
                <w:rFonts w:eastAsia="Times New Roman"/>
                <w:lang w:val="en-PH"/>
              </w:rPr>
            </w:pPr>
            <w:r w:rsidRPr="00B5277D">
              <w:rPr>
                <w:lang w:eastAsia="zh-CN" w:bidi="ar"/>
              </w:rPr>
              <w:t>Pre- and post-training assessments</w:t>
            </w:r>
          </w:p>
          <w:p w14:paraId="55ECCF14" w14:textId="77777777" w:rsidR="006070FD" w:rsidRPr="00B5277D" w:rsidRDefault="006070FD" w:rsidP="00B5277D">
            <w:pPr>
              <w:numPr>
                <w:ilvl w:val="0"/>
                <w:numId w:val="25"/>
              </w:numPr>
              <w:tabs>
                <w:tab w:val="left" w:pos="420"/>
              </w:tabs>
              <w:rPr>
                <w:rFonts w:eastAsia="Times New Roman"/>
                <w:lang w:val="en-PH"/>
              </w:rPr>
            </w:pPr>
            <w:r w:rsidRPr="00B5277D">
              <w:rPr>
                <w:lang w:eastAsia="zh-CN" w:bidi="ar"/>
              </w:rPr>
              <w:t>Increased usage of gender mainstreaming tools in department planning</w:t>
            </w:r>
          </w:p>
        </w:tc>
      </w:tr>
      <w:tr w:rsidR="006070FD" w:rsidRPr="00B5277D" w14:paraId="7CE66FEB" w14:textId="77777777" w:rsidTr="00B5277D">
        <w:tc>
          <w:tcPr>
            <w:tcW w:w="854" w:type="dxa"/>
            <w:vAlign w:val="center"/>
          </w:tcPr>
          <w:p w14:paraId="05F10548" w14:textId="77777777" w:rsidR="006070FD" w:rsidRPr="00B5277D" w:rsidRDefault="006070FD" w:rsidP="00B5277D">
            <w:pPr>
              <w:jc w:val="center"/>
              <w:rPr>
                <w:rFonts w:eastAsia="Times New Roman"/>
                <w:lang w:val="en-PH"/>
              </w:rPr>
            </w:pPr>
          </w:p>
        </w:tc>
        <w:tc>
          <w:tcPr>
            <w:tcW w:w="1439" w:type="dxa"/>
          </w:tcPr>
          <w:p w14:paraId="0A6441BF" w14:textId="77777777" w:rsidR="006070FD" w:rsidRPr="00B5277D" w:rsidRDefault="006070FD" w:rsidP="00B5277D">
            <w:pPr>
              <w:rPr>
                <w:rFonts w:eastAsia="Times New Roman"/>
                <w:lang w:val="en-PH"/>
              </w:rPr>
            </w:pPr>
            <w:r w:rsidRPr="00B5277D">
              <w:rPr>
                <w:bCs/>
                <w:lang w:eastAsia="zh-CN" w:bidi="ar"/>
              </w:rPr>
              <w:t>Gender Budgeting &amp; Planning</w:t>
            </w:r>
          </w:p>
        </w:tc>
        <w:tc>
          <w:tcPr>
            <w:tcW w:w="2098" w:type="dxa"/>
          </w:tcPr>
          <w:p w14:paraId="433B04C5" w14:textId="77777777" w:rsidR="006070FD" w:rsidRPr="00B5277D" w:rsidRDefault="006070FD" w:rsidP="00B5277D">
            <w:pPr>
              <w:numPr>
                <w:ilvl w:val="0"/>
                <w:numId w:val="25"/>
              </w:numPr>
              <w:tabs>
                <w:tab w:val="left" w:pos="420"/>
              </w:tabs>
              <w:rPr>
                <w:rFonts w:eastAsia="Times New Roman"/>
                <w:lang w:val="en-PH"/>
              </w:rPr>
            </w:pPr>
            <w:r w:rsidRPr="00B5277D">
              <w:rPr>
                <w:lang w:eastAsia="zh-CN" w:bidi="ar"/>
              </w:rPr>
              <w:t>Training on Gender-Responsive Budgeting</w:t>
            </w:r>
          </w:p>
          <w:p w14:paraId="4A32BEE0" w14:textId="77777777" w:rsidR="006070FD" w:rsidRPr="00B5277D" w:rsidRDefault="006070FD" w:rsidP="00B5277D">
            <w:pPr>
              <w:numPr>
                <w:ilvl w:val="0"/>
                <w:numId w:val="25"/>
              </w:numPr>
              <w:tabs>
                <w:tab w:val="left" w:pos="420"/>
              </w:tabs>
              <w:rPr>
                <w:rFonts w:eastAsia="Times New Roman"/>
                <w:lang w:val="en-PH"/>
              </w:rPr>
            </w:pPr>
            <w:r w:rsidRPr="00B5277D">
              <w:rPr>
                <w:lang w:eastAsia="zh-CN" w:bidi="ar"/>
              </w:rPr>
              <w:t>Workshop on Gender-Responsive Project Planning</w:t>
            </w:r>
          </w:p>
        </w:tc>
        <w:tc>
          <w:tcPr>
            <w:tcW w:w="2002" w:type="dxa"/>
          </w:tcPr>
          <w:p w14:paraId="17D171E4" w14:textId="77777777" w:rsidR="006070FD" w:rsidRPr="00B5277D" w:rsidRDefault="006070FD" w:rsidP="00B5277D">
            <w:pPr>
              <w:numPr>
                <w:ilvl w:val="0"/>
                <w:numId w:val="25"/>
              </w:numPr>
              <w:tabs>
                <w:tab w:val="left" w:pos="420"/>
              </w:tabs>
              <w:rPr>
                <w:rFonts w:eastAsia="Times New Roman"/>
                <w:lang w:val="en-PH"/>
              </w:rPr>
            </w:pPr>
            <w:r w:rsidRPr="00B5277D">
              <w:rPr>
                <w:lang w:eastAsia="zh-CN" w:bidi="ar"/>
              </w:rPr>
              <w:t>To integrate gender perspectives into planning and budgeting processes</w:t>
            </w:r>
          </w:p>
        </w:tc>
        <w:tc>
          <w:tcPr>
            <w:tcW w:w="1595" w:type="dxa"/>
          </w:tcPr>
          <w:p w14:paraId="590AFB7D" w14:textId="77777777" w:rsidR="006070FD" w:rsidRPr="00B5277D" w:rsidRDefault="006070FD" w:rsidP="00B5277D">
            <w:pPr>
              <w:numPr>
                <w:ilvl w:val="0"/>
                <w:numId w:val="25"/>
              </w:numPr>
              <w:tabs>
                <w:tab w:val="left" w:pos="420"/>
              </w:tabs>
              <w:rPr>
                <w:rFonts w:eastAsia="Times New Roman"/>
                <w:lang w:val="en-PH"/>
              </w:rPr>
            </w:pPr>
            <w:r w:rsidRPr="00B5277D">
              <w:rPr>
                <w:lang w:eastAsia="zh-CN" w:bidi="ar"/>
              </w:rPr>
              <w:t>Ability to design and implement gender-sensitive projects</w:t>
            </w:r>
          </w:p>
        </w:tc>
        <w:tc>
          <w:tcPr>
            <w:tcW w:w="1903" w:type="dxa"/>
          </w:tcPr>
          <w:p w14:paraId="155EC514" w14:textId="77777777" w:rsidR="006070FD" w:rsidRPr="00B5277D" w:rsidRDefault="006070FD" w:rsidP="00B5277D">
            <w:pPr>
              <w:numPr>
                <w:ilvl w:val="0"/>
                <w:numId w:val="25"/>
              </w:numPr>
              <w:tabs>
                <w:tab w:val="left" w:pos="420"/>
              </w:tabs>
              <w:rPr>
                <w:rFonts w:eastAsia="Times New Roman"/>
                <w:lang w:val="en-PH"/>
              </w:rPr>
            </w:pPr>
            <w:r w:rsidRPr="00B5277D">
              <w:rPr>
                <w:lang w:eastAsia="zh-CN" w:bidi="ar"/>
              </w:rPr>
              <w:t>Percentage of GFPS members incorporating gender budgeting in their units</w:t>
            </w:r>
          </w:p>
          <w:p w14:paraId="6FBB3B7F" w14:textId="77777777" w:rsidR="006070FD" w:rsidRPr="00B5277D" w:rsidRDefault="006070FD" w:rsidP="00B5277D">
            <w:pPr>
              <w:numPr>
                <w:ilvl w:val="0"/>
                <w:numId w:val="25"/>
              </w:numPr>
              <w:tabs>
                <w:tab w:val="left" w:pos="420"/>
              </w:tabs>
              <w:rPr>
                <w:rFonts w:eastAsia="Times New Roman"/>
                <w:lang w:val="en-PH"/>
              </w:rPr>
            </w:pPr>
            <w:r w:rsidRPr="00B5277D">
              <w:rPr>
                <w:lang w:eastAsia="zh-CN" w:bidi="ar"/>
              </w:rPr>
              <w:t>Increased number of gender-responsive projects at ASC</w:t>
            </w:r>
          </w:p>
        </w:tc>
      </w:tr>
      <w:tr w:rsidR="006070FD" w:rsidRPr="00B5277D" w14:paraId="750F6AB2" w14:textId="77777777" w:rsidTr="00B5277D">
        <w:tc>
          <w:tcPr>
            <w:tcW w:w="854" w:type="dxa"/>
            <w:vAlign w:val="center"/>
          </w:tcPr>
          <w:p w14:paraId="2F608315" w14:textId="77777777" w:rsidR="006070FD" w:rsidRPr="00B5277D" w:rsidRDefault="006070FD" w:rsidP="00B5277D">
            <w:pPr>
              <w:jc w:val="center"/>
              <w:rPr>
                <w:bCs/>
                <w:lang w:eastAsia="zh-CN" w:bidi="ar"/>
              </w:rPr>
            </w:pPr>
            <w:r w:rsidRPr="00B5277D">
              <w:rPr>
                <w:bCs/>
                <w:lang w:eastAsia="zh-CN" w:bidi="ar"/>
              </w:rPr>
              <w:t>3</w:t>
            </w:r>
          </w:p>
          <w:p w14:paraId="24918815" w14:textId="77777777" w:rsidR="006070FD" w:rsidRPr="00B5277D" w:rsidRDefault="006070FD" w:rsidP="00B5277D">
            <w:pPr>
              <w:jc w:val="center"/>
              <w:rPr>
                <w:bCs/>
                <w:lang w:eastAsia="zh-CN" w:bidi="ar"/>
              </w:rPr>
            </w:pPr>
          </w:p>
          <w:p w14:paraId="7E1E6418" w14:textId="77777777" w:rsidR="006070FD" w:rsidRPr="00B5277D" w:rsidRDefault="006070FD" w:rsidP="00B5277D">
            <w:pPr>
              <w:jc w:val="center"/>
              <w:rPr>
                <w:bCs/>
                <w:lang w:eastAsia="zh-CN" w:bidi="ar"/>
              </w:rPr>
            </w:pPr>
          </w:p>
          <w:p w14:paraId="6EF2DE15" w14:textId="77777777" w:rsidR="006070FD" w:rsidRPr="00B5277D" w:rsidRDefault="006070FD" w:rsidP="00B5277D">
            <w:pPr>
              <w:jc w:val="center"/>
              <w:rPr>
                <w:bCs/>
                <w:lang w:eastAsia="zh-CN" w:bidi="ar"/>
              </w:rPr>
            </w:pPr>
          </w:p>
          <w:p w14:paraId="763EC516" w14:textId="77777777" w:rsidR="006070FD" w:rsidRPr="00B5277D" w:rsidRDefault="006070FD" w:rsidP="00B5277D">
            <w:pPr>
              <w:jc w:val="center"/>
              <w:rPr>
                <w:bCs/>
                <w:lang w:eastAsia="zh-CN" w:bidi="ar"/>
              </w:rPr>
            </w:pPr>
          </w:p>
          <w:p w14:paraId="611BC7C3" w14:textId="77777777" w:rsidR="006070FD" w:rsidRPr="00B5277D" w:rsidRDefault="006070FD" w:rsidP="00B5277D">
            <w:pPr>
              <w:jc w:val="center"/>
              <w:rPr>
                <w:bCs/>
                <w:lang w:eastAsia="zh-CN" w:bidi="ar"/>
              </w:rPr>
            </w:pPr>
          </w:p>
          <w:p w14:paraId="01CB7DE7" w14:textId="77777777" w:rsidR="006070FD" w:rsidRPr="00B5277D" w:rsidRDefault="006070FD" w:rsidP="00B5277D">
            <w:pPr>
              <w:jc w:val="center"/>
              <w:rPr>
                <w:bCs/>
                <w:lang w:eastAsia="zh-CN" w:bidi="ar"/>
              </w:rPr>
            </w:pPr>
          </w:p>
          <w:p w14:paraId="76A9B645" w14:textId="77777777" w:rsidR="006070FD" w:rsidRPr="00B5277D" w:rsidRDefault="006070FD" w:rsidP="00B5277D">
            <w:pPr>
              <w:jc w:val="center"/>
              <w:rPr>
                <w:bCs/>
                <w:lang w:eastAsia="zh-CN" w:bidi="ar"/>
              </w:rPr>
            </w:pPr>
          </w:p>
          <w:p w14:paraId="67C26D7A" w14:textId="77777777" w:rsidR="006070FD" w:rsidRPr="00B5277D" w:rsidRDefault="006070FD" w:rsidP="00B5277D">
            <w:pPr>
              <w:jc w:val="center"/>
              <w:rPr>
                <w:bCs/>
                <w:lang w:eastAsia="zh-CN" w:bidi="ar"/>
              </w:rPr>
            </w:pPr>
          </w:p>
          <w:p w14:paraId="28EECE31" w14:textId="77777777" w:rsidR="006070FD" w:rsidRPr="00B5277D" w:rsidRDefault="006070FD" w:rsidP="00B5277D">
            <w:pPr>
              <w:jc w:val="center"/>
              <w:rPr>
                <w:bCs/>
                <w:lang w:eastAsia="zh-CN" w:bidi="ar"/>
              </w:rPr>
            </w:pPr>
          </w:p>
          <w:p w14:paraId="6C6904B7" w14:textId="77777777" w:rsidR="006070FD" w:rsidRPr="00B5277D" w:rsidRDefault="006070FD" w:rsidP="00B5277D">
            <w:pPr>
              <w:jc w:val="center"/>
              <w:rPr>
                <w:bCs/>
                <w:lang w:val="en-PH" w:bidi="ar"/>
              </w:rPr>
            </w:pPr>
          </w:p>
        </w:tc>
        <w:tc>
          <w:tcPr>
            <w:tcW w:w="1439" w:type="dxa"/>
          </w:tcPr>
          <w:p w14:paraId="13E6D54C" w14:textId="77777777" w:rsidR="006070FD" w:rsidRPr="00B5277D" w:rsidRDefault="006070FD" w:rsidP="00B5277D">
            <w:pPr>
              <w:rPr>
                <w:rFonts w:eastAsia="Times New Roman"/>
                <w:lang w:eastAsia="zh-CN"/>
              </w:rPr>
            </w:pPr>
            <w:r w:rsidRPr="00B5277D">
              <w:rPr>
                <w:bCs/>
                <w:lang w:eastAsia="zh-CN" w:bidi="ar"/>
              </w:rPr>
              <w:lastRenderedPageBreak/>
              <w:t xml:space="preserve">Advanced Training on </w:t>
            </w:r>
            <w:r w:rsidRPr="00B5277D">
              <w:rPr>
                <w:bCs/>
                <w:lang w:eastAsia="zh-CN" w:bidi="ar"/>
              </w:rPr>
              <w:lastRenderedPageBreak/>
              <w:t>GAD Policies and Tools</w:t>
            </w:r>
          </w:p>
        </w:tc>
        <w:tc>
          <w:tcPr>
            <w:tcW w:w="2098" w:type="dxa"/>
          </w:tcPr>
          <w:p w14:paraId="19917EFB"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lastRenderedPageBreak/>
              <w:t xml:space="preserve">Training on advanced GAD tools (Gender </w:t>
            </w:r>
            <w:r w:rsidRPr="00B5277D">
              <w:rPr>
                <w:lang w:eastAsia="zh-CN" w:bidi="ar"/>
              </w:rPr>
              <w:lastRenderedPageBreak/>
              <w:t>Gap Analysis, Participatory Gender Audit)</w:t>
            </w:r>
          </w:p>
          <w:p w14:paraId="7DC129C3"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Workshop on GAD-Related Policies in Higher Education</w:t>
            </w:r>
          </w:p>
        </w:tc>
        <w:tc>
          <w:tcPr>
            <w:tcW w:w="2002" w:type="dxa"/>
          </w:tcPr>
          <w:p w14:paraId="766C2216"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lastRenderedPageBreak/>
              <w:t xml:space="preserve">To equip GFPS members with advanced GAD </w:t>
            </w:r>
            <w:r w:rsidRPr="00B5277D">
              <w:rPr>
                <w:lang w:eastAsia="zh-CN" w:bidi="ar"/>
              </w:rPr>
              <w:lastRenderedPageBreak/>
              <w:t>tools and methodologies</w:t>
            </w:r>
          </w:p>
        </w:tc>
        <w:tc>
          <w:tcPr>
            <w:tcW w:w="1595" w:type="dxa"/>
          </w:tcPr>
          <w:p w14:paraId="2D6496C3"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lastRenderedPageBreak/>
              <w:t xml:space="preserve">Enhanced capacity to apply </w:t>
            </w:r>
            <w:r w:rsidRPr="00B5277D">
              <w:rPr>
                <w:lang w:eastAsia="zh-CN" w:bidi="ar"/>
              </w:rPr>
              <w:lastRenderedPageBreak/>
              <w:t>gender analysis in programs and projects</w:t>
            </w:r>
          </w:p>
        </w:tc>
        <w:tc>
          <w:tcPr>
            <w:tcW w:w="1903" w:type="dxa"/>
          </w:tcPr>
          <w:p w14:paraId="06F8788E"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lastRenderedPageBreak/>
              <w:t xml:space="preserve">Number of members trained on </w:t>
            </w:r>
            <w:r w:rsidRPr="00B5277D">
              <w:rPr>
                <w:lang w:eastAsia="zh-CN" w:bidi="ar"/>
              </w:rPr>
              <w:lastRenderedPageBreak/>
              <w:t>advanced GAD tools</w:t>
            </w:r>
          </w:p>
          <w:p w14:paraId="05359E88"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Practical applications of these tools in projects</w:t>
            </w:r>
          </w:p>
        </w:tc>
      </w:tr>
      <w:tr w:rsidR="006070FD" w:rsidRPr="00B5277D" w14:paraId="1A991858" w14:textId="77777777" w:rsidTr="00B5277D">
        <w:tc>
          <w:tcPr>
            <w:tcW w:w="854" w:type="dxa"/>
            <w:vAlign w:val="center"/>
          </w:tcPr>
          <w:p w14:paraId="6B7D1DB5" w14:textId="77777777" w:rsidR="006070FD" w:rsidRPr="00B5277D" w:rsidRDefault="006070FD" w:rsidP="00B5277D">
            <w:pPr>
              <w:jc w:val="center"/>
              <w:rPr>
                <w:rFonts w:eastAsia="Times New Roman"/>
                <w:lang w:val="en-PH"/>
              </w:rPr>
            </w:pPr>
          </w:p>
        </w:tc>
        <w:tc>
          <w:tcPr>
            <w:tcW w:w="1439" w:type="dxa"/>
          </w:tcPr>
          <w:p w14:paraId="39E98A16" w14:textId="77777777" w:rsidR="006070FD" w:rsidRPr="00B5277D" w:rsidRDefault="006070FD" w:rsidP="00B5277D">
            <w:pPr>
              <w:rPr>
                <w:rFonts w:eastAsia="Times New Roman"/>
                <w:lang w:eastAsia="zh-CN"/>
              </w:rPr>
            </w:pPr>
            <w:r w:rsidRPr="00B5277D">
              <w:rPr>
                <w:bCs/>
                <w:lang w:eastAsia="zh-CN" w:bidi="ar"/>
              </w:rPr>
              <w:t>Monitoring &amp; Evaluation of GAD Programs</w:t>
            </w:r>
          </w:p>
        </w:tc>
        <w:tc>
          <w:tcPr>
            <w:tcW w:w="2098" w:type="dxa"/>
          </w:tcPr>
          <w:p w14:paraId="4F634608"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Gender Mainstreaming Evaluation Framework (GMEF) Workshop</w:t>
            </w:r>
          </w:p>
          <w:p w14:paraId="2E828B28"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Training on Developing Gender-Responsive M&amp;E Frameworks</w:t>
            </w:r>
          </w:p>
        </w:tc>
        <w:tc>
          <w:tcPr>
            <w:tcW w:w="2002" w:type="dxa"/>
          </w:tcPr>
          <w:p w14:paraId="612146BC"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To build skills in monitoring and evaluating gender-responsive programs</w:t>
            </w:r>
          </w:p>
        </w:tc>
        <w:tc>
          <w:tcPr>
            <w:tcW w:w="1595" w:type="dxa"/>
          </w:tcPr>
          <w:p w14:paraId="54A385E5"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Strengthened M&amp;E skills for GAD-related goals</w:t>
            </w:r>
          </w:p>
        </w:tc>
        <w:tc>
          <w:tcPr>
            <w:tcW w:w="1903" w:type="dxa"/>
          </w:tcPr>
          <w:p w14:paraId="205475BD"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Creation of gender-responsive M&amp;E frameworks for new programs</w:t>
            </w:r>
          </w:p>
          <w:p w14:paraId="63359B71"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Number of GAD projects successfully evaluated using gender-responsive M&amp;E frameworks</w:t>
            </w:r>
          </w:p>
        </w:tc>
      </w:tr>
      <w:tr w:rsidR="006070FD" w:rsidRPr="00B5277D" w14:paraId="4123F4A1" w14:textId="77777777" w:rsidTr="00B5277D">
        <w:tc>
          <w:tcPr>
            <w:tcW w:w="854" w:type="dxa"/>
            <w:vAlign w:val="center"/>
          </w:tcPr>
          <w:p w14:paraId="7E4796B8" w14:textId="77777777" w:rsidR="006070FD" w:rsidRPr="00B5277D" w:rsidRDefault="006070FD" w:rsidP="00B5277D">
            <w:pPr>
              <w:jc w:val="center"/>
              <w:rPr>
                <w:bCs/>
                <w:lang w:eastAsia="zh-CN" w:bidi="ar"/>
              </w:rPr>
            </w:pPr>
            <w:r w:rsidRPr="00B5277D">
              <w:rPr>
                <w:bCs/>
                <w:lang w:eastAsia="zh-CN" w:bidi="ar"/>
              </w:rPr>
              <w:t>4</w:t>
            </w:r>
          </w:p>
          <w:p w14:paraId="1B6E1E3C" w14:textId="77777777" w:rsidR="006070FD" w:rsidRPr="00B5277D" w:rsidRDefault="006070FD" w:rsidP="00B5277D">
            <w:pPr>
              <w:jc w:val="center"/>
              <w:rPr>
                <w:bCs/>
                <w:lang w:eastAsia="zh-CN" w:bidi="ar"/>
              </w:rPr>
            </w:pPr>
          </w:p>
          <w:p w14:paraId="6A8AB458" w14:textId="77777777" w:rsidR="006070FD" w:rsidRPr="00B5277D" w:rsidRDefault="006070FD" w:rsidP="00B5277D">
            <w:pPr>
              <w:jc w:val="center"/>
              <w:rPr>
                <w:bCs/>
                <w:lang w:eastAsia="zh-CN" w:bidi="ar"/>
              </w:rPr>
            </w:pPr>
          </w:p>
          <w:p w14:paraId="663577EC" w14:textId="77777777" w:rsidR="006070FD" w:rsidRPr="00B5277D" w:rsidRDefault="006070FD" w:rsidP="00B5277D">
            <w:pPr>
              <w:jc w:val="center"/>
              <w:rPr>
                <w:bCs/>
                <w:lang w:eastAsia="zh-CN" w:bidi="ar"/>
              </w:rPr>
            </w:pPr>
          </w:p>
          <w:p w14:paraId="2C467E6A" w14:textId="77777777" w:rsidR="006070FD" w:rsidRPr="00B5277D" w:rsidRDefault="006070FD" w:rsidP="00B5277D">
            <w:pPr>
              <w:jc w:val="center"/>
              <w:rPr>
                <w:bCs/>
                <w:lang w:eastAsia="zh-CN" w:bidi="ar"/>
              </w:rPr>
            </w:pPr>
          </w:p>
          <w:p w14:paraId="276C6EA4" w14:textId="77777777" w:rsidR="006070FD" w:rsidRPr="00B5277D" w:rsidRDefault="006070FD" w:rsidP="00B5277D">
            <w:pPr>
              <w:jc w:val="center"/>
              <w:rPr>
                <w:bCs/>
                <w:lang w:eastAsia="zh-CN" w:bidi="ar"/>
              </w:rPr>
            </w:pPr>
          </w:p>
          <w:p w14:paraId="05DD6405" w14:textId="77777777" w:rsidR="006070FD" w:rsidRPr="00B5277D" w:rsidRDefault="006070FD" w:rsidP="00B5277D">
            <w:pPr>
              <w:jc w:val="center"/>
              <w:rPr>
                <w:bCs/>
                <w:lang w:eastAsia="zh-CN" w:bidi="ar"/>
              </w:rPr>
            </w:pPr>
          </w:p>
          <w:p w14:paraId="1952D083" w14:textId="77777777" w:rsidR="006070FD" w:rsidRPr="00B5277D" w:rsidRDefault="006070FD" w:rsidP="00B5277D">
            <w:pPr>
              <w:jc w:val="center"/>
              <w:rPr>
                <w:bCs/>
                <w:lang w:eastAsia="zh-CN" w:bidi="ar"/>
              </w:rPr>
            </w:pPr>
          </w:p>
          <w:p w14:paraId="1915EA03" w14:textId="77777777" w:rsidR="006070FD" w:rsidRPr="00B5277D" w:rsidRDefault="006070FD" w:rsidP="00B5277D">
            <w:pPr>
              <w:jc w:val="center"/>
              <w:rPr>
                <w:bCs/>
                <w:lang w:eastAsia="zh-CN" w:bidi="ar"/>
              </w:rPr>
            </w:pPr>
          </w:p>
          <w:p w14:paraId="78BF464F" w14:textId="77777777" w:rsidR="006070FD" w:rsidRPr="00B5277D" w:rsidRDefault="006070FD" w:rsidP="00B5277D">
            <w:pPr>
              <w:jc w:val="center"/>
              <w:rPr>
                <w:bCs/>
                <w:lang w:eastAsia="zh-CN" w:bidi="ar"/>
              </w:rPr>
            </w:pPr>
          </w:p>
          <w:p w14:paraId="5CF94101" w14:textId="77777777" w:rsidR="006070FD" w:rsidRPr="00B5277D" w:rsidRDefault="006070FD" w:rsidP="00B5277D">
            <w:pPr>
              <w:jc w:val="center"/>
              <w:rPr>
                <w:bCs/>
                <w:lang w:eastAsia="zh-CN" w:bidi="ar"/>
              </w:rPr>
            </w:pPr>
          </w:p>
          <w:p w14:paraId="613FAA63" w14:textId="77777777" w:rsidR="006070FD" w:rsidRPr="00B5277D" w:rsidRDefault="006070FD" w:rsidP="00B5277D">
            <w:pPr>
              <w:jc w:val="center"/>
              <w:rPr>
                <w:bCs/>
                <w:lang w:eastAsia="zh-CN" w:bidi="ar"/>
              </w:rPr>
            </w:pPr>
          </w:p>
          <w:p w14:paraId="62788ECD" w14:textId="77777777" w:rsidR="006070FD" w:rsidRPr="00B5277D" w:rsidRDefault="006070FD" w:rsidP="00B5277D">
            <w:pPr>
              <w:jc w:val="center"/>
              <w:rPr>
                <w:bCs/>
                <w:lang w:val="en-PH" w:bidi="ar"/>
              </w:rPr>
            </w:pPr>
          </w:p>
        </w:tc>
        <w:tc>
          <w:tcPr>
            <w:tcW w:w="1439" w:type="dxa"/>
          </w:tcPr>
          <w:p w14:paraId="460B2B75" w14:textId="77777777" w:rsidR="006070FD" w:rsidRPr="00B5277D" w:rsidRDefault="006070FD" w:rsidP="00B5277D">
            <w:pPr>
              <w:rPr>
                <w:rFonts w:eastAsia="Times New Roman"/>
                <w:lang w:eastAsia="zh-CN"/>
              </w:rPr>
            </w:pPr>
            <w:r w:rsidRPr="00B5277D">
              <w:rPr>
                <w:bCs/>
                <w:lang w:eastAsia="zh-CN" w:bidi="ar"/>
              </w:rPr>
              <w:t>Leadership Development in GAD Advocacy</w:t>
            </w:r>
          </w:p>
        </w:tc>
        <w:tc>
          <w:tcPr>
            <w:tcW w:w="2098" w:type="dxa"/>
          </w:tcPr>
          <w:p w14:paraId="358F114E"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Leadership &amp; Advocacy Training for GFPS members</w:t>
            </w:r>
          </w:p>
          <w:p w14:paraId="4C97A318"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Gender Advocacy Strategies in Higher Education</w:t>
            </w:r>
          </w:p>
        </w:tc>
        <w:tc>
          <w:tcPr>
            <w:tcW w:w="2002" w:type="dxa"/>
          </w:tcPr>
          <w:p w14:paraId="7058ADAD"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To enhance leadership and advocacy techniques for promoting gender equality</w:t>
            </w:r>
          </w:p>
        </w:tc>
        <w:tc>
          <w:tcPr>
            <w:tcW w:w="1595" w:type="dxa"/>
          </w:tcPr>
          <w:p w14:paraId="150BBD83"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Stronger leadership and advocacy for gender equality</w:t>
            </w:r>
          </w:p>
        </w:tc>
        <w:tc>
          <w:tcPr>
            <w:tcW w:w="1903" w:type="dxa"/>
          </w:tcPr>
          <w:p w14:paraId="7E720136"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Number of GFPS members assuming leadership roles in gender initiatives</w:t>
            </w:r>
          </w:p>
          <w:p w14:paraId="76A55E6A"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Number of advocacy campaigns on gender equality</w:t>
            </w:r>
          </w:p>
        </w:tc>
      </w:tr>
      <w:tr w:rsidR="006070FD" w:rsidRPr="00B5277D" w14:paraId="3B044FB6" w14:textId="77777777" w:rsidTr="00B5277D">
        <w:trPr>
          <w:trHeight w:val="2433"/>
        </w:trPr>
        <w:tc>
          <w:tcPr>
            <w:tcW w:w="854" w:type="dxa"/>
            <w:vAlign w:val="center"/>
          </w:tcPr>
          <w:p w14:paraId="1B6CA287" w14:textId="77777777" w:rsidR="006070FD" w:rsidRPr="00B5277D" w:rsidRDefault="006070FD" w:rsidP="00B5277D">
            <w:pPr>
              <w:rPr>
                <w:rFonts w:eastAsia="Times New Roman"/>
                <w:lang w:val="en-PH"/>
              </w:rPr>
            </w:pPr>
          </w:p>
        </w:tc>
        <w:tc>
          <w:tcPr>
            <w:tcW w:w="1439" w:type="dxa"/>
          </w:tcPr>
          <w:p w14:paraId="31A3C6F2" w14:textId="77777777" w:rsidR="006070FD" w:rsidRPr="00B5277D" w:rsidRDefault="006070FD" w:rsidP="00B5277D">
            <w:pPr>
              <w:rPr>
                <w:rFonts w:eastAsia="Times New Roman"/>
                <w:lang w:eastAsia="zh-CN"/>
              </w:rPr>
            </w:pPr>
            <w:r w:rsidRPr="00B5277D">
              <w:rPr>
                <w:bCs/>
                <w:lang w:eastAsia="zh-CN" w:bidi="ar"/>
              </w:rPr>
              <w:t>Institutionalizing GAD in ASC</w:t>
            </w:r>
          </w:p>
        </w:tc>
        <w:tc>
          <w:tcPr>
            <w:tcW w:w="2098" w:type="dxa"/>
          </w:tcPr>
          <w:p w14:paraId="73140AB4"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Creating a Gender-Responsive Institutional Culture Workshop</w:t>
            </w:r>
          </w:p>
          <w:p w14:paraId="62EB7E98"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Integrating GAD into ASC Policies and Practices</w:t>
            </w:r>
          </w:p>
        </w:tc>
        <w:tc>
          <w:tcPr>
            <w:tcW w:w="2002" w:type="dxa"/>
          </w:tcPr>
          <w:p w14:paraId="7F6479F0"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To institutionalize GAD within ASC’s structures and culture</w:t>
            </w:r>
          </w:p>
        </w:tc>
        <w:tc>
          <w:tcPr>
            <w:tcW w:w="1595" w:type="dxa"/>
          </w:tcPr>
          <w:p w14:paraId="4CA6DB88"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GAD integration into ASC’s policies and practices</w:t>
            </w:r>
          </w:p>
        </w:tc>
        <w:tc>
          <w:tcPr>
            <w:tcW w:w="1903" w:type="dxa"/>
          </w:tcPr>
          <w:p w14:paraId="3840C740"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Incorporation of GAD in ASC’s strategic plans</w:t>
            </w:r>
          </w:p>
          <w:p w14:paraId="2828A9BC"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Evidence of institutional culture changes towards gender inclusivity</w:t>
            </w:r>
          </w:p>
        </w:tc>
      </w:tr>
      <w:tr w:rsidR="006070FD" w:rsidRPr="00B5277D" w14:paraId="007AF360" w14:textId="77777777" w:rsidTr="00B5277D">
        <w:tc>
          <w:tcPr>
            <w:tcW w:w="854" w:type="dxa"/>
            <w:vAlign w:val="center"/>
          </w:tcPr>
          <w:p w14:paraId="2F72DEB9" w14:textId="77777777" w:rsidR="006070FD" w:rsidRPr="00B5277D" w:rsidRDefault="006070FD" w:rsidP="00B5277D">
            <w:pPr>
              <w:jc w:val="center"/>
              <w:rPr>
                <w:bCs/>
                <w:lang w:eastAsia="zh-CN" w:bidi="ar"/>
              </w:rPr>
            </w:pPr>
            <w:r w:rsidRPr="00B5277D">
              <w:rPr>
                <w:bCs/>
                <w:lang w:eastAsia="zh-CN" w:bidi="ar"/>
              </w:rPr>
              <w:t>5</w:t>
            </w:r>
          </w:p>
          <w:p w14:paraId="64D71E5F" w14:textId="77777777" w:rsidR="006070FD" w:rsidRPr="00B5277D" w:rsidRDefault="006070FD" w:rsidP="00B5277D">
            <w:pPr>
              <w:rPr>
                <w:bCs/>
                <w:lang w:eastAsia="zh-CN" w:bidi="ar"/>
              </w:rPr>
            </w:pPr>
          </w:p>
          <w:p w14:paraId="2BB50113" w14:textId="77777777" w:rsidR="006070FD" w:rsidRPr="00B5277D" w:rsidRDefault="006070FD" w:rsidP="00B5277D">
            <w:pPr>
              <w:rPr>
                <w:bCs/>
                <w:lang w:eastAsia="zh-CN" w:bidi="ar"/>
              </w:rPr>
            </w:pPr>
          </w:p>
          <w:p w14:paraId="59F6F238" w14:textId="77777777" w:rsidR="006070FD" w:rsidRPr="00B5277D" w:rsidRDefault="006070FD" w:rsidP="00B5277D">
            <w:pPr>
              <w:rPr>
                <w:bCs/>
                <w:lang w:eastAsia="zh-CN" w:bidi="ar"/>
              </w:rPr>
            </w:pPr>
          </w:p>
          <w:p w14:paraId="71B730A6" w14:textId="77777777" w:rsidR="006070FD" w:rsidRPr="00B5277D" w:rsidRDefault="006070FD" w:rsidP="00B5277D">
            <w:pPr>
              <w:rPr>
                <w:bCs/>
                <w:lang w:eastAsia="zh-CN" w:bidi="ar"/>
              </w:rPr>
            </w:pPr>
          </w:p>
          <w:p w14:paraId="1BD23623" w14:textId="77777777" w:rsidR="006070FD" w:rsidRPr="00B5277D" w:rsidRDefault="006070FD" w:rsidP="00B5277D">
            <w:pPr>
              <w:rPr>
                <w:bCs/>
                <w:lang w:eastAsia="zh-CN" w:bidi="ar"/>
              </w:rPr>
            </w:pPr>
          </w:p>
          <w:p w14:paraId="6A738A7E" w14:textId="77777777" w:rsidR="006070FD" w:rsidRPr="00B5277D" w:rsidRDefault="006070FD" w:rsidP="00B5277D">
            <w:pPr>
              <w:rPr>
                <w:bCs/>
                <w:lang w:eastAsia="zh-CN" w:bidi="ar"/>
              </w:rPr>
            </w:pPr>
          </w:p>
          <w:p w14:paraId="6D95034D" w14:textId="77777777" w:rsidR="006070FD" w:rsidRPr="00B5277D" w:rsidRDefault="006070FD" w:rsidP="00B5277D">
            <w:pPr>
              <w:rPr>
                <w:bCs/>
                <w:lang w:eastAsia="zh-CN" w:bidi="ar"/>
              </w:rPr>
            </w:pPr>
          </w:p>
          <w:p w14:paraId="08AC80A9" w14:textId="77777777" w:rsidR="006070FD" w:rsidRPr="00B5277D" w:rsidRDefault="006070FD" w:rsidP="00B5277D">
            <w:pPr>
              <w:rPr>
                <w:bCs/>
                <w:lang w:eastAsia="zh-CN" w:bidi="ar"/>
              </w:rPr>
            </w:pPr>
          </w:p>
          <w:p w14:paraId="5CD08538" w14:textId="77777777" w:rsidR="006070FD" w:rsidRPr="00B5277D" w:rsidRDefault="006070FD" w:rsidP="00B5277D">
            <w:pPr>
              <w:rPr>
                <w:bCs/>
                <w:lang w:eastAsia="zh-CN" w:bidi="ar"/>
              </w:rPr>
            </w:pPr>
          </w:p>
          <w:p w14:paraId="4693AD87" w14:textId="77777777" w:rsidR="006070FD" w:rsidRPr="00B5277D" w:rsidRDefault="006070FD" w:rsidP="00B5277D">
            <w:pPr>
              <w:jc w:val="center"/>
              <w:rPr>
                <w:bCs/>
                <w:lang w:val="en-PH" w:bidi="ar"/>
              </w:rPr>
            </w:pPr>
          </w:p>
        </w:tc>
        <w:tc>
          <w:tcPr>
            <w:tcW w:w="1439" w:type="dxa"/>
          </w:tcPr>
          <w:p w14:paraId="2A74FB5F" w14:textId="77777777" w:rsidR="006070FD" w:rsidRPr="00B5277D" w:rsidRDefault="006070FD" w:rsidP="00B5277D">
            <w:pPr>
              <w:rPr>
                <w:rFonts w:eastAsia="Times New Roman"/>
                <w:lang w:eastAsia="zh-CN"/>
              </w:rPr>
            </w:pPr>
            <w:r w:rsidRPr="00B5277D">
              <w:rPr>
                <w:bCs/>
                <w:lang w:eastAsia="zh-CN" w:bidi="ar"/>
              </w:rPr>
              <w:lastRenderedPageBreak/>
              <w:t>Sustainability and Capacity Building for Future GAD Leaders</w:t>
            </w:r>
          </w:p>
        </w:tc>
        <w:tc>
          <w:tcPr>
            <w:tcW w:w="2098" w:type="dxa"/>
          </w:tcPr>
          <w:p w14:paraId="64DC317E"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Training of Trainers (TOT) for GFPS members</w:t>
            </w:r>
          </w:p>
          <w:p w14:paraId="6E63A1A3"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 xml:space="preserve">Development of a GAD Resource </w:t>
            </w:r>
            <w:r w:rsidRPr="00B5277D">
              <w:rPr>
                <w:lang w:eastAsia="zh-CN" w:bidi="ar"/>
              </w:rPr>
              <w:lastRenderedPageBreak/>
              <w:t>Center within ASC</w:t>
            </w:r>
          </w:p>
        </w:tc>
        <w:tc>
          <w:tcPr>
            <w:tcW w:w="2002" w:type="dxa"/>
          </w:tcPr>
          <w:p w14:paraId="7F3CD582"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lastRenderedPageBreak/>
              <w:t>To ensure sustainability of GAD capacity-building efforts</w:t>
            </w:r>
          </w:p>
          <w:p w14:paraId="5BD7E0A0"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 xml:space="preserve">To develop a GAD resource hub for </w:t>
            </w:r>
            <w:r w:rsidRPr="00B5277D">
              <w:rPr>
                <w:lang w:eastAsia="zh-CN" w:bidi="ar"/>
              </w:rPr>
              <w:lastRenderedPageBreak/>
              <w:t>continued learning</w:t>
            </w:r>
          </w:p>
        </w:tc>
        <w:tc>
          <w:tcPr>
            <w:tcW w:w="1595" w:type="dxa"/>
          </w:tcPr>
          <w:p w14:paraId="03D13278"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lastRenderedPageBreak/>
              <w:t>Empowered GFPS members capable of training future cohorts</w:t>
            </w:r>
          </w:p>
        </w:tc>
        <w:tc>
          <w:tcPr>
            <w:tcW w:w="1903" w:type="dxa"/>
          </w:tcPr>
          <w:p w14:paraId="0B89DEFE"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Number of new trainers developed</w:t>
            </w:r>
          </w:p>
          <w:p w14:paraId="433C6EFF"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 xml:space="preserve">Establishment and usage of the GAD </w:t>
            </w:r>
            <w:r w:rsidRPr="00B5277D">
              <w:rPr>
                <w:lang w:eastAsia="zh-CN" w:bidi="ar"/>
              </w:rPr>
              <w:lastRenderedPageBreak/>
              <w:t>Resource Center</w:t>
            </w:r>
          </w:p>
        </w:tc>
      </w:tr>
      <w:tr w:rsidR="006070FD" w:rsidRPr="00B5277D" w14:paraId="7BFA9A2D" w14:textId="77777777" w:rsidTr="00B5277D">
        <w:tc>
          <w:tcPr>
            <w:tcW w:w="854" w:type="dxa"/>
            <w:vAlign w:val="center"/>
          </w:tcPr>
          <w:p w14:paraId="07D748F9" w14:textId="77777777" w:rsidR="006070FD" w:rsidRPr="00B5277D" w:rsidRDefault="006070FD" w:rsidP="00B5277D">
            <w:pPr>
              <w:rPr>
                <w:rFonts w:eastAsia="Times New Roman"/>
                <w:lang w:val="en-PH"/>
              </w:rPr>
            </w:pPr>
          </w:p>
        </w:tc>
        <w:tc>
          <w:tcPr>
            <w:tcW w:w="1439" w:type="dxa"/>
          </w:tcPr>
          <w:p w14:paraId="69173A8B" w14:textId="77777777" w:rsidR="006070FD" w:rsidRPr="00B5277D" w:rsidRDefault="006070FD" w:rsidP="00B5277D">
            <w:pPr>
              <w:rPr>
                <w:rFonts w:eastAsia="Times New Roman"/>
                <w:lang w:eastAsia="zh-CN"/>
              </w:rPr>
            </w:pPr>
            <w:r w:rsidRPr="00B5277D">
              <w:rPr>
                <w:bCs/>
                <w:lang w:eastAsia="zh-CN" w:bidi="ar"/>
              </w:rPr>
              <w:t>Final Evaluation and Program Assessment</w:t>
            </w:r>
          </w:p>
        </w:tc>
        <w:tc>
          <w:tcPr>
            <w:tcW w:w="2098" w:type="dxa"/>
          </w:tcPr>
          <w:p w14:paraId="3B2DD3C8"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End-of-Program Evaluation</w:t>
            </w:r>
          </w:p>
          <w:p w14:paraId="68226364"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Development of an Action Plan for Continued GAD Integration</w:t>
            </w:r>
          </w:p>
        </w:tc>
        <w:tc>
          <w:tcPr>
            <w:tcW w:w="2002" w:type="dxa"/>
          </w:tcPr>
          <w:p w14:paraId="0A4BD4F7"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To assess the progress of the program and develop future action plans for GAD integration</w:t>
            </w:r>
          </w:p>
        </w:tc>
        <w:tc>
          <w:tcPr>
            <w:tcW w:w="1595" w:type="dxa"/>
          </w:tcPr>
          <w:p w14:paraId="1A35AED8"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Comprehensive program evaluation and continuous improvement plan</w:t>
            </w:r>
          </w:p>
        </w:tc>
        <w:tc>
          <w:tcPr>
            <w:tcW w:w="1903" w:type="dxa"/>
          </w:tcPr>
          <w:p w14:paraId="18816744"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Final program evaluation report</w:t>
            </w:r>
          </w:p>
          <w:p w14:paraId="37636A87" w14:textId="77777777" w:rsidR="006070FD" w:rsidRPr="00B5277D" w:rsidRDefault="006070FD" w:rsidP="00B5277D">
            <w:pPr>
              <w:numPr>
                <w:ilvl w:val="0"/>
                <w:numId w:val="25"/>
              </w:numPr>
              <w:tabs>
                <w:tab w:val="left" w:pos="420"/>
              </w:tabs>
              <w:rPr>
                <w:rFonts w:eastAsia="Times New Roman"/>
                <w:lang w:eastAsia="zh-CN"/>
              </w:rPr>
            </w:pPr>
            <w:r w:rsidRPr="00B5277D">
              <w:rPr>
                <w:lang w:eastAsia="zh-CN" w:bidi="ar"/>
              </w:rPr>
              <w:t>Development of an action plan for future GAD initiatives</w:t>
            </w:r>
          </w:p>
        </w:tc>
      </w:tr>
    </w:tbl>
    <w:p w14:paraId="57F9A815" w14:textId="77777777" w:rsidR="006070FD" w:rsidRPr="00B5277D" w:rsidRDefault="006070FD" w:rsidP="00B5277D">
      <w:pPr>
        <w:spacing w:after="0" w:line="259" w:lineRule="auto"/>
        <w:ind w:left="360"/>
        <w:contextualSpacing/>
        <w:jc w:val="both"/>
        <w:rPr>
          <w:rFonts w:ascii="Times New Roman" w:eastAsia="Calibri" w:hAnsi="Times New Roman" w:cs="Times New Roman"/>
          <w:bCs/>
          <w:sz w:val="20"/>
          <w:szCs w:val="20"/>
          <w:lang w:val="en-PH"/>
          <w14:ligatures w14:val="none"/>
        </w:rPr>
      </w:pPr>
    </w:p>
    <w:p w14:paraId="1FB211A9"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The five-year Capability-Building Program for Gender and Development (GAD) for GFPS members is designed to progressively enhance understanding and application of gender equality concepts within the organization. Year 1 focuses on introducing fundamental GAD concepts and raising gender sensitivity, with assessments to measure understanding. In Year 2, the program delves into gender analysis and mainstreaming, equipping members with tools like the Gender Mainstreaming Evaluation Framework (GMEF) and training on gender-responsive budgeting. This phase aims to integrate gender perspectives into planning, budgeting, and project design, with success gauged by the incorporation of gender-sensitive practices in ASC's operations. Year 3 builds on this by offering advanced training on GAD tools and monitoring and evaluation (M&amp;E), empowering members to apply these methodologies in evaluating gender-responsive projects.</w:t>
      </w:r>
    </w:p>
    <w:p w14:paraId="0D5C46AE"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Years 4 and 5 focus on leadership development and sustainability. Year 4 emphasizes strengthening advocacy skills and institutionalizing GAD within ASC’s policies and culture, aiming to integrate GAD principles into the organization's strategic direction and foster leadership roles for gender equality. The final year centers on developing a sustainable model through Training of Trainers and the creation of a GAD Resource Center, ensuring that GAD capacity-building efforts continue beyond the program. Success will be measured by the establishment of the resource center, the creation of new trainers, and the development of a long-term action plan for GAD integration, leading to sustained improvements in gender equality within ASC.</w:t>
      </w:r>
    </w:p>
    <w:p w14:paraId="28104339" w14:textId="77777777" w:rsidR="006070FD" w:rsidRPr="006070FD" w:rsidRDefault="006070FD" w:rsidP="006070FD">
      <w:pPr>
        <w:widowControl w:val="0"/>
        <w:spacing w:before="43" w:after="0" w:line="240" w:lineRule="auto"/>
        <w:ind w:firstLine="567"/>
        <w:jc w:val="both"/>
        <w:rPr>
          <w:rFonts w:ascii="Times New Roman" w:eastAsia="Cambria" w:hAnsi="Times New Roman" w:cs="Times New Roman"/>
          <w:bCs/>
          <w:color w:val="000000"/>
          <w:kern w:val="0"/>
          <w:sz w:val="22"/>
          <w:szCs w:val="22"/>
          <w:lang w:val="en-PH"/>
          <w14:ligatures w14:val="none"/>
        </w:rPr>
      </w:pPr>
      <w:r w:rsidRPr="006070FD">
        <w:rPr>
          <w:rFonts w:ascii="Times New Roman" w:eastAsia="Calibri" w:hAnsi="Times New Roman" w:cs="Times New Roman"/>
          <w:bCs/>
          <w:sz w:val="22"/>
          <w:szCs w:val="22"/>
          <w:lang w:val="en-PH"/>
          <w14:ligatures w14:val="none"/>
        </w:rPr>
        <w:t xml:space="preserve">                                                                              </w:t>
      </w:r>
    </w:p>
    <w:p w14:paraId="122019DA" w14:textId="6BA44AA4" w:rsidR="006070FD" w:rsidRPr="00B5277D" w:rsidRDefault="006070FD" w:rsidP="00B5277D">
      <w:pPr>
        <w:spacing w:line="240" w:lineRule="auto"/>
        <w:jc w:val="both"/>
        <w:rPr>
          <w:rFonts w:ascii="Times New Roman" w:eastAsia="SimSun" w:hAnsi="Times New Roman" w:cs="Times New Roman"/>
          <w:b/>
          <w:bCs/>
          <w:color w:val="000000"/>
          <w:kern w:val="0"/>
          <w:sz w:val="22"/>
          <w:szCs w:val="22"/>
          <w14:ligatures w14:val="none"/>
        </w:rPr>
      </w:pPr>
      <w:r w:rsidRPr="006070FD">
        <w:rPr>
          <w:rFonts w:ascii="Times New Roman" w:eastAsia="SimSun" w:hAnsi="Times New Roman" w:cs="Times New Roman"/>
          <w:b/>
          <w:bCs/>
          <w:color w:val="000000"/>
          <w:kern w:val="0"/>
          <w:sz w:val="22"/>
          <w:szCs w:val="22"/>
          <w:lang w:val="en-PH"/>
          <w14:ligatures w14:val="none"/>
        </w:rPr>
        <w:t>CONCLUSION</w:t>
      </w:r>
      <w:r w:rsidR="00B5277D">
        <w:rPr>
          <w:rFonts w:ascii="Times New Roman" w:eastAsia="SimSun" w:hAnsi="Times New Roman" w:cs="Times New Roman"/>
          <w:b/>
          <w:bCs/>
          <w:color w:val="000000"/>
          <w:kern w:val="0"/>
          <w:sz w:val="22"/>
          <w:szCs w:val="22"/>
          <w14:ligatures w14:val="none"/>
        </w:rPr>
        <w:t xml:space="preserve"> AND RECOMMENDATION</w:t>
      </w:r>
    </w:p>
    <w:p w14:paraId="748C8A5F"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The assessment of the GFPS members at Apayao State College revealed significant patterns in both demographic profiles and levels of familiarity with gender-related concepts, laws, and tools. The majority of respondents were female, aged 41 to 50, with master’s degrees, and serving as associate professors—many of whom were part of the Technical Working Group (TWG) and had more than five years of experience in the GFPS. While these attributes suggest a capacity for leadership in gender initiatives, the study found that familiarity was largely limited to basic GAD concepts such as sex and gender, gender discrimination, and gender and development.</w:t>
      </w:r>
    </w:p>
    <w:p w14:paraId="4EA557F8"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 xml:space="preserve">In contrast, there was limited knowledge of national and international legal mandates such as the </w:t>
      </w:r>
      <w:r w:rsidRPr="006070FD">
        <w:rPr>
          <w:rFonts w:ascii="Times New Roman" w:eastAsia="SimSun" w:hAnsi="Times New Roman" w:cs="Times New Roman"/>
          <w:i/>
          <w:iCs/>
          <w:kern w:val="0"/>
          <w:sz w:val="22"/>
          <w:szCs w:val="22"/>
          <w:lang w:val="en-PH"/>
          <w14:ligatures w14:val="none"/>
        </w:rPr>
        <w:t>Magna Carta of Women</w:t>
      </w:r>
      <w:r w:rsidRPr="006070FD">
        <w:rPr>
          <w:rFonts w:ascii="Times New Roman" w:eastAsia="SimSun" w:hAnsi="Times New Roman" w:cs="Times New Roman"/>
          <w:kern w:val="0"/>
          <w:sz w:val="22"/>
          <w:szCs w:val="22"/>
          <w:lang w:val="en-PH"/>
          <w14:ligatures w14:val="none"/>
        </w:rPr>
        <w:t xml:space="preserve"> (Republic Act No. 9710), the </w:t>
      </w:r>
      <w:r w:rsidRPr="006070FD">
        <w:rPr>
          <w:rFonts w:ascii="Times New Roman" w:eastAsia="SimSun" w:hAnsi="Times New Roman" w:cs="Times New Roman"/>
          <w:i/>
          <w:iCs/>
          <w:kern w:val="0"/>
          <w:sz w:val="22"/>
          <w:szCs w:val="22"/>
          <w:lang w:val="en-PH"/>
          <w14:ligatures w14:val="none"/>
        </w:rPr>
        <w:t xml:space="preserve">Women in Development and Nation Building Act </w:t>
      </w:r>
      <w:r w:rsidRPr="006070FD">
        <w:rPr>
          <w:rFonts w:ascii="Times New Roman" w:eastAsia="SimSun" w:hAnsi="Times New Roman" w:cs="Times New Roman"/>
          <w:kern w:val="0"/>
          <w:sz w:val="22"/>
          <w:szCs w:val="22"/>
          <w:lang w:val="en-PH"/>
          <w14:ligatures w14:val="none"/>
        </w:rPr>
        <w:t xml:space="preserve">(Republic Act No. 7192), the </w:t>
      </w:r>
      <w:r w:rsidRPr="006070FD">
        <w:rPr>
          <w:rFonts w:ascii="Times New Roman" w:eastAsia="SimSun" w:hAnsi="Times New Roman" w:cs="Times New Roman"/>
          <w:i/>
          <w:iCs/>
          <w:kern w:val="0"/>
          <w:sz w:val="22"/>
          <w:szCs w:val="22"/>
          <w:lang w:val="en-PH"/>
          <w14:ligatures w14:val="none"/>
        </w:rPr>
        <w:t>Safe Spaces Act</w:t>
      </w:r>
      <w:r w:rsidRPr="006070FD">
        <w:rPr>
          <w:rFonts w:ascii="Times New Roman" w:eastAsia="SimSun" w:hAnsi="Times New Roman" w:cs="Times New Roman"/>
          <w:kern w:val="0"/>
          <w:sz w:val="22"/>
          <w:szCs w:val="22"/>
          <w:lang w:val="en-PH"/>
          <w14:ligatures w14:val="none"/>
        </w:rPr>
        <w:t xml:space="preserve"> (Republic Act No. 11313), and international frameworks like </w:t>
      </w:r>
      <w:r w:rsidRPr="006070FD">
        <w:rPr>
          <w:rFonts w:ascii="Times New Roman" w:eastAsia="SimSun" w:hAnsi="Times New Roman" w:cs="Times New Roman"/>
          <w:i/>
          <w:iCs/>
          <w:kern w:val="0"/>
          <w:sz w:val="22"/>
          <w:szCs w:val="22"/>
          <w:lang w:val="en-PH"/>
          <w14:ligatures w14:val="none"/>
        </w:rPr>
        <w:t>CEDAW</w:t>
      </w:r>
      <w:r w:rsidRPr="006070FD">
        <w:rPr>
          <w:rFonts w:ascii="Times New Roman" w:eastAsia="SimSun" w:hAnsi="Times New Roman" w:cs="Times New Roman"/>
          <w:kern w:val="0"/>
          <w:sz w:val="22"/>
          <w:szCs w:val="22"/>
          <w:lang w:val="en-PH"/>
          <w14:ligatures w14:val="none"/>
        </w:rPr>
        <w:t xml:space="preserve"> and the </w:t>
      </w:r>
      <w:r w:rsidRPr="006070FD">
        <w:rPr>
          <w:rFonts w:ascii="Times New Roman" w:eastAsia="SimSun" w:hAnsi="Times New Roman" w:cs="Times New Roman"/>
          <w:i/>
          <w:iCs/>
          <w:kern w:val="0"/>
          <w:sz w:val="22"/>
          <w:szCs w:val="22"/>
          <w:lang w:val="en-PH"/>
          <w14:ligatures w14:val="none"/>
        </w:rPr>
        <w:t>Beijing Platform for Action</w:t>
      </w:r>
      <w:r w:rsidRPr="006070FD">
        <w:rPr>
          <w:rFonts w:ascii="Times New Roman" w:eastAsia="SimSun" w:hAnsi="Times New Roman" w:cs="Times New Roman"/>
          <w:kern w:val="0"/>
          <w:sz w:val="22"/>
          <w:szCs w:val="22"/>
          <w:lang w:val="en-PH"/>
          <w14:ligatures w14:val="none"/>
        </w:rPr>
        <w:t xml:space="preserve"> (UN Women, 2015; PCW, 2021). Furthermore, majority of members were not familiar with essential gender tools such as the </w:t>
      </w:r>
      <w:r w:rsidRPr="006070FD">
        <w:rPr>
          <w:rFonts w:ascii="Times New Roman" w:eastAsia="SimSun" w:hAnsi="Times New Roman" w:cs="Times New Roman"/>
          <w:i/>
          <w:iCs/>
          <w:kern w:val="0"/>
          <w:sz w:val="22"/>
          <w:szCs w:val="22"/>
          <w:lang w:val="en-PH"/>
          <w14:ligatures w14:val="none"/>
        </w:rPr>
        <w:t xml:space="preserve">Gender Mainstreaming Evaluation Framework </w:t>
      </w:r>
      <w:r w:rsidRPr="006070FD">
        <w:rPr>
          <w:rFonts w:ascii="Times New Roman" w:eastAsia="SimSun" w:hAnsi="Times New Roman" w:cs="Times New Roman"/>
          <w:kern w:val="0"/>
          <w:sz w:val="22"/>
          <w:szCs w:val="22"/>
          <w:lang w:val="en-PH"/>
          <w14:ligatures w14:val="none"/>
        </w:rPr>
        <w:t xml:space="preserve">(GMEF), </w:t>
      </w:r>
      <w:r w:rsidRPr="006070FD">
        <w:rPr>
          <w:rFonts w:ascii="Times New Roman" w:eastAsia="SimSun" w:hAnsi="Times New Roman" w:cs="Times New Roman"/>
          <w:i/>
          <w:iCs/>
          <w:kern w:val="0"/>
          <w:sz w:val="22"/>
          <w:szCs w:val="22"/>
          <w:lang w:val="en-PH"/>
          <w14:ligatures w14:val="none"/>
        </w:rPr>
        <w:t>Harmonized Gender and Development Guidelines</w:t>
      </w:r>
      <w:r w:rsidRPr="006070FD">
        <w:rPr>
          <w:rFonts w:ascii="Times New Roman" w:eastAsia="SimSun" w:hAnsi="Times New Roman" w:cs="Times New Roman"/>
          <w:kern w:val="0"/>
          <w:sz w:val="22"/>
          <w:szCs w:val="22"/>
          <w:lang w:val="en-PH"/>
          <w14:ligatures w14:val="none"/>
        </w:rPr>
        <w:t xml:space="preserve"> (HGDG), </w:t>
      </w:r>
      <w:r w:rsidRPr="006070FD">
        <w:rPr>
          <w:rFonts w:ascii="Times New Roman" w:eastAsia="SimSun" w:hAnsi="Times New Roman" w:cs="Times New Roman"/>
          <w:i/>
          <w:iCs/>
          <w:kern w:val="0"/>
          <w:sz w:val="22"/>
          <w:szCs w:val="22"/>
          <w:lang w:val="en-PH"/>
          <w14:ligatures w14:val="none"/>
        </w:rPr>
        <w:t>Gender Gap Analysis Tool,</w:t>
      </w:r>
      <w:r w:rsidRPr="006070FD">
        <w:rPr>
          <w:rFonts w:ascii="Times New Roman" w:eastAsia="SimSun" w:hAnsi="Times New Roman" w:cs="Times New Roman"/>
          <w:kern w:val="0"/>
          <w:sz w:val="22"/>
          <w:szCs w:val="22"/>
          <w:lang w:val="en-PH"/>
          <w14:ligatures w14:val="none"/>
        </w:rPr>
        <w:t xml:space="preserve"> and P</w:t>
      </w:r>
      <w:r w:rsidRPr="006070FD">
        <w:rPr>
          <w:rFonts w:ascii="Times New Roman" w:eastAsia="SimSun" w:hAnsi="Times New Roman" w:cs="Times New Roman"/>
          <w:i/>
          <w:iCs/>
          <w:kern w:val="0"/>
          <w:sz w:val="22"/>
          <w:szCs w:val="22"/>
          <w:lang w:val="en-PH"/>
          <w14:ligatures w14:val="none"/>
        </w:rPr>
        <w:t>articipatory Gender Audit</w:t>
      </w:r>
      <w:r w:rsidRPr="006070FD">
        <w:rPr>
          <w:rFonts w:ascii="Times New Roman" w:eastAsia="SimSun" w:hAnsi="Times New Roman" w:cs="Times New Roman"/>
          <w:kern w:val="0"/>
          <w:sz w:val="22"/>
          <w:szCs w:val="22"/>
          <w:lang w:val="en-PH"/>
          <w14:ligatures w14:val="none"/>
        </w:rPr>
        <w:t xml:space="preserve"> (PCW &amp; NEDA, 2012).</w:t>
      </w:r>
    </w:p>
    <w:p w14:paraId="71C7CDB6" w14:textId="77777777" w:rsidR="00843E64" w:rsidRDefault="00843E64"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p>
    <w:p w14:paraId="382CAFDE" w14:textId="1E5303DC"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lastRenderedPageBreak/>
        <w:t>These findings affirm the relevance of Gender Mainstreaming Theory, which argues that meaningful institutional change requires both structural reform and individual capacity (Bacchi &amp; Eveline, 2010; Moser, 1993). The theory highlights the need for institutional mechanisms, such as training and strategic planning, to ensure the successful integration of gender perspectives in policy-making, program development, and implementation (True, 2003). The limited technical knowledge of GFPS members observed in this study reflects a systemic gap that can hinder the college’s gender mainstreaming efforts.</w:t>
      </w:r>
    </w:p>
    <w:p w14:paraId="2563AB45"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In response to these gaps, Apayao State College plans to implement a targeted capability-building program design</w:t>
      </w:r>
      <w:r w:rsidRPr="006070FD">
        <w:rPr>
          <w:rFonts w:ascii="Times New Roman" w:eastAsia="SimSun" w:hAnsi="Times New Roman" w:cs="Times New Roman"/>
          <w:kern w:val="0"/>
          <w:sz w:val="22"/>
          <w:szCs w:val="22"/>
          <w14:ligatures w14:val="none"/>
        </w:rPr>
        <w:t>ed</w:t>
      </w:r>
      <w:r w:rsidRPr="006070FD">
        <w:rPr>
          <w:rFonts w:ascii="Times New Roman" w:eastAsia="SimSun" w:hAnsi="Times New Roman" w:cs="Times New Roman"/>
          <w:kern w:val="0"/>
          <w:sz w:val="22"/>
          <w:szCs w:val="22"/>
          <w:lang w:val="en-PH"/>
          <w14:ligatures w14:val="none"/>
        </w:rPr>
        <w:t xml:space="preserve"> </w:t>
      </w:r>
      <w:r w:rsidRPr="006070FD">
        <w:rPr>
          <w:rFonts w:ascii="Times New Roman" w:eastAsia="SimSun" w:hAnsi="Times New Roman" w:cs="Times New Roman"/>
          <w:kern w:val="0"/>
          <w:sz w:val="22"/>
          <w:szCs w:val="22"/>
          <w14:ligatures w14:val="none"/>
        </w:rPr>
        <w:t>to</w:t>
      </w:r>
      <w:r w:rsidRPr="006070FD">
        <w:rPr>
          <w:rFonts w:ascii="Times New Roman" w:eastAsia="SimSun" w:hAnsi="Times New Roman" w:cs="Times New Roman"/>
          <w:kern w:val="0"/>
          <w:sz w:val="22"/>
          <w:szCs w:val="22"/>
          <w:lang w:val="en-PH"/>
          <w14:ligatures w14:val="none"/>
        </w:rPr>
        <w:t xml:space="preserve"> strengthen </w:t>
      </w:r>
      <w:r w:rsidRPr="006070FD">
        <w:rPr>
          <w:rFonts w:ascii="Times New Roman" w:eastAsia="SimSun" w:hAnsi="Times New Roman" w:cs="Times New Roman"/>
          <w:kern w:val="0"/>
          <w:sz w:val="22"/>
          <w:szCs w:val="22"/>
          <w14:ligatures w14:val="none"/>
        </w:rPr>
        <w:t xml:space="preserve">the </w:t>
      </w:r>
      <w:r w:rsidRPr="006070FD">
        <w:rPr>
          <w:rFonts w:ascii="Times New Roman" w:eastAsia="SimSun" w:hAnsi="Times New Roman" w:cs="Times New Roman"/>
          <w:kern w:val="0"/>
          <w:sz w:val="22"/>
          <w:szCs w:val="22"/>
          <w:lang w:val="en-PH"/>
          <w14:ligatures w14:val="none"/>
        </w:rPr>
        <w:t>technical competencies of GFPS members. This initiative aligns with national mandates from the Philippine Commission on Women, which emphasize the importance of continuous learning and institutional capacity development to advance gender equality (PCW, 2016; PCW, 2021). By equipping GFPS members with a deeper understanding of GAD policies, legal frameworks, and analytical tools, the college will be better positioned to integrate gender perspectives across all levels of planning, budgeting, and governance.</w:t>
      </w:r>
    </w:p>
    <w:p w14:paraId="7BAE44D0"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Identify a comprehensive and tailored capacity building programme to catch up the gaps and gaps identified in this study regarding GFPS members' knowledge and skills on GAD concepts/policies/tools. The program must also be centered on strengthening awareness on important GAD mandates such as the Magna Carta of Women, CEDAW, and other applicable laws, and deepen tool trainings on GAD issues such as the Harmonized Gender and Development Guidelines</w:t>
      </w:r>
    </w:p>
    <w:p w14:paraId="6792DC17"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r w:rsidRPr="006070FD">
        <w:rPr>
          <w:rFonts w:ascii="Times New Roman" w:eastAsia="SimSun" w:hAnsi="Times New Roman" w:cs="Times New Roman"/>
          <w:kern w:val="0"/>
          <w:sz w:val="22"/>
          <w:szCs w:val="22"/>
          <w:lang w:val="en-PH"/>
          <w14:ligatures w14:val="none"/>
        </w:rPr>
        <w:t>Moreover, training needs to be stratified by demographics (i.e., sex, age, educational attainment, and committee membership) to ensure that even at upper-body levels, all are equipped with a greater understanding of gender mainstreaming. This strengthens their dramatic evidence of technical competencies and help them to provide effective integration of gender-sensitive strategies in the College's programs and initiatives.</w:t>
      </w:r>
    </w:p>
    <w:p w14:paraId="08125A5E" w14:textId="77777777" w:rsidR="006070FD" w:rsidRPr="006070FD" w:rsidRDefault="006070FD" w:rsidP="006070FD">
      <w:pPr>
        <w:widowControl w:val="0"/>
        <w:spacing w:before="43" w:after="0" w:line="240" w:lineRule="auto"/>
        <w:ind w:firstLine="567"/>
        <w:jc w:val="both"/>
        <w:rPr>
          <w:rFonts w:ascii="Times New Roman" w:eastAsia="SimSun" w:hAnsi="Times New Roman" w:cs="Times New Roman"/>
          <w:kern w:val="0"/>
          <w:sz w:val="22"/>
          <w:szCs w:val="22"/>
          <w:lang w:val="en-PH"/>
          <w14:ligatures w14:val="none"/>
        </w:rPr>
      </w:pPr>
    </w:p>
    <w:p w14:paraId="43216CDD" w14:textId="77777777" w:rsidR="006070FD" w:rsidRPr="006070FD" w:rsidRDefault="006070FD" w:rsidP="006070FD">
      <w:pPr>
        <w:spacing w:after="0" w:line="240" w:lineRule="auto"/>
        <w:jc w:val="both"/>
        <w:rPr>
          <w:rFonts w:ascii="Times New Roman" w:eastAsia="SimSun" w:hAnsi="Times New Roman" w:cs="Times New Roman"/>
          <w:b/>
          <w:bCs/>
          <w:color w:val="000000"/>
          <w:kern w:val="0"/>
          <w:sz w:val="22"/>
          <w:szCs w:val="22"/>
          <w:lang w:val="en-PH"/>
          <w14:ligatures w14:val="none"/>
        </w:rPr>
      </w:pPr>
    </w:p>
    <w:p w14:paraId="4394410A" w14:textId="373EF07C" w:rsidR="006070FD" w:rsidRPr="00843E64" w:rsidRDefault="00B5277D" w:rsidP="00B5277D">
      <w:pPr>
        <w:spacing w:line="240" w:lineRule="auto"/>
        <w:jc w:val="both"/>
        <w:rPr>
          <w:rFonts w:ascii="Times New Roman" w:eastAsia="SimSun" w:hAnsi="Times New Roman" w:cs="Times New Roman"/>
          <w:b/>
          <w:bCs/>
          <w:color w:val="000000"/>
          <w:kern w:val="0"/>
          <w:sz w:val="22"/>
          <w:lang w:val="en-PH"/>
          <w14:ligatures w14:val="none"/>
        </w:rPr>
      </w:pPr>
      <w:r w:rsidRPr="00843E64">
        <w:rPr>
          <w:rFonts w:ascii="Times New Roman" w:eastAsia="SimSun" w:hAnsi="Times New Roman" w:cs="Times New Roman"/>
          <w:b/>
          <w:bCs/>
          <w:color w:val="000000"/>
          <w:kern w:val="0"/>
          <w:sz w:val="22"/>
          <w:lang w:val="en-PH"/>
          <w14:ligatures w14:val="none"/>
        </w:rPr>
        <w:t>References</w:t>
      </w:r>
    </w:p>
    <w:p w14:paraId="205E1E9C"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Apayao State College. (2024). </w:t>
      </w:r>
      <w:r w:rsidRPr="00B5277D">
        <w:rPr>
          <w:rFonts w:ascii="Times New Roman" w:eastAsia="SimSun" w:hAnsi="Times New Roman" w:cs="Times New Roman"/>
          <w:i/>
          <w:iCs/>
          <w:kern w:val="0"/>
          <w:sz w:val="20"/>
          <w:szCs w:val="22"/>
          <w:lang w:eastAsia="zh-CN"/>
          <w14:ligatures w14:val="none"/>
        </w:rPr>
        <w:t>Gender and Development Focal Point System functionality assessment report</w:t>
      </w:r>
      <w:r w:rsidRPr="00B5277D">
        <w:rPr>
          <w:rFonts w:ascii="Times New Roman" w:eastAsia="SimSun" w:hAnsi="Times New Roman" w:cs="Times New Roman"/>
          <w:kern w:val="0"/>
          <w:sz w:val="20"/>
          <w:szCs w:val="22"/>
          <w:lang w:eastAsia="zh-CN"/>
          <w14:ligatures w14:val="none"/>
        </w:rPr>
        <w:t xml:space="preserve"> [Unpublished manuscript].</w:t>
      </w:r>
    </w:p>
    <w:p w14:paraId="55C8FFC4"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Bacchi, C., &amp; Eveline, J. (2010). </w:t>
      </w:r>
      <w:r w:rsidRPr="00B5277D">
        <w:rPr>
          <w:rFonts w:ascii="Times New Roman" w:eastAsia="SimSun" w:hAnsi="Times New Roman" w:cs="Times New Roman"/>
          <w:i/>
          <w:iCs/>
          <w:kern w:val="0"/>
          <w:sz w:val="20"/>
          <w:szCs w:val="22"/>
          <w:lang w:eastAsia="zh-CN"/>
          <w14:ligatures w14:val="none"/>
        </w:rPr>
        <w:t>Mainstreaming politics: Gendering practices and feminist theory</w:t>
      </w:r>
      <w:r w:rsidRPr="00B5277D">
        <w:rPr>
          <w:rFonts w:ascii="Times New Roman" w:eastAsia="SimSun" w:hAnsi="Times New Roman" w:cs="Times New Roman"/>
          <w:kern w:val="0"/>
          <w:sz w:val="20"/>
          <w:szCs w:val="22"/>
          <w:lang w:eastAsia="zh-CN"/>
          <w14:ligatures w14:val="none"/>
        </w:rPr>
        <w:t>. University of Adelaide Press.</w:t>
      </w:r>
    </w:p>
    <w:p w14:paraId="1B08F748"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Cabangon, L. C. (2020). Implementation of Gender and Development programs in selected State Universities and Colleges in Luzon, Philippines. </w:t>
      </w:r>
      <w:r w:rsidRPr="00B5277D">
        <w:rPr>
          <w:rFonts w:ascii="Times New Roman" w:eastAsia="SimSun" w:hAnsi="Times New Roman" w:cs="Times New Roman"/>
          <w:i/>
          <w:iCs/>
          <w:kern w:val="0"/>
          <w:sz w:val="20"/>
          <w:szCs w:val="22"/>
          <w:lang w:eastAsia="zh-CN"/>
          <w14:ligatures w14:val="none"/>
        </w:rPr>
        <w:t>International Journal of Advanced Research and Publications</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4</w:t>
      </w:r>
      <w:r w:rsidRPr="00B5277D">
        <w:rPr>
          <w:rFonts w:ascii="Times New Roman" w:eastAsia="SimSun" w:hAnsi="Times New Roman" w:cs="Times New Roman"/>
          <w:kern w:val="0"/>
          <w:sz w:val="20"/>
          <w:szCs w:val="22"/>
          <w:lang w:eastAsia="zh-CN"/>
          <w14:ligatures w14:val="none"/>
        </w:rPr>
        <w:t>(7), 116–121.</w:t>
      </w:r>
    </w:p>
    <w:p w14:paraId="420344B2"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Cabangon, M. (2020). An assessment of GAD mainstreaming in state universities in the Philippines. </w:t>
      </w:r>
      <w:r w:rsidRPr="00B5277D">
        <w:rPr>
          <w:rFonts w:ascii="Times New Roman" w:eastAsia="SimSun" w:hAnsi="Times New Roman" w:cs="Times New Roman"/>
          <w:i/>
          <w:iCs/>
          <w:kern w:val="0"/>
          <w:sz w:val="20"/>
          <w:szCs w:val="22"/>
          <w:lang w:eastAsia="zh-CN"/>
          <w14:ligatures w14:val="none"/>
        </w:rPr>
        <w:t>Philippine Social Science Journal</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23</w:t>
      </w:r>
      <w:r w:rsidRPr="00B5277D">
        <w:rPr>
          <w:rFonts w:ascii="Times New Roman" w:eastAsia="SimSun" w:hAnsi="Times New Roman" w:cs="Times New Roman"/>
          <w:kern w:val="0"/>
          <w:sz w:val="20"/>
          <w:szCs w:val="22"/>
          <w:lang w:eastAsia="zh-CN"/>
          <w14:ligatures w14:val="none"/>
        </w:rPr>
        <w:t>(2), 157–173.</w:t>
      </w:r>
    </w:p>
    <w:p w14:paraId="126F3BB4"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Chant, S. (2016). </w:t>
      </w:r>
      <w:r w:rsidRPr="00B5277D">
        <w:rPr>
          <w:rFonts w:ascii="Times New Roman" w:eastAsia="SimSun" w:hAnsi="Times New Roman" w:cs="Times New Roman"/>
          <w:i/>
          <w:iCs/>
          <w:kern w:val="0"/>
          <w:sz w:val="20"/>
          <w:szCs w:val="22"/>
          <w:lang w:eastAsia="zh-CN"/>
          <w14:ligatures w14:val="none"/>
        </w:rPr>
        <w:t>Gender and development: A critical introduction</w:t>
      </w:r>
      <w:r w:rsidRPr="00B5277D">
        <w:rPr>
          <w:rFonts w:ascii="Times New Roman" w:eastAsia="SimSun" w:hAnsi="Times New Roman" w:cs="Times New Roman"/>
          <w:kern w:val="0"/>
          <w:sz w:val="20"/>
          <w:szCs w:val="22"/>
          <w:lang w:eastAsia="zh-CN"/>
          <w14:ligatures w14:val="none"/>
        </w:rPr>
        <w:t xml:space="preserve"> (2nd ed.). Routledge.</w:t>
      </w:r>
    </w:p>
    <w:p w14:paraId="50523677"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Congress of the Philippines. (1992). </w:t>
      </w:r>
      <w:r w:rsidRPr="00B5277D">
        <w:rPr>
          <w:rFonts w:ascii="Times New Roman" w:eastAsia="SimSun" w:hAnsi="Times New Roman" w:cs="Times New Roman"/>
          <w:i/>
          <w:iCs/>
          <w:kern w:val="0"/>
          <w:sz w:val="20"/>
          <w:szCs w:val="22"/>
          <w:lang w:eastAsia="zh-CN"/>
          <w14:ligatures w14:val="none"/>
        </w:rPr>
        <w:t>Republic Act No. 7192: Women in Development and Nation Building Act</w:t>
      </w:r>
      <w:r w:rsidRPr="00B5277D">
        <w:rPr>
          <w:rFonts w:ascii="Times New Roman" w:eastAsia="SimSun" w:hAnsi="Times New Roman" w:cs="Times New Roman"/>
          <w:kern w:val="0"/>
          <w:sz w:val="20"/>
          <w:szCs w:val="22"/>
          <w:lang w:eastAsia="zh-CN"/>
          <w14:ligatures w14:val="none"/>
        </w:rPr>
        <w:t xml:space="preserve">. </w:t>
      </w:r>
      <w:hyperlink r:id="rId9" w:tgtFrame="_blank" w:history="1">
        <w:r w:rsidRPr="00B5277D">
          <w:rPr>
            <w:rStyle w:val="Hyperlink"/>
            <w:rFonts w:ascii="Times New Roman" w:eastAsia="SimSun" w:hAnsi="Times New Roman" w:cs="Times New Roman"/>
            <w:kern w:val="0"/>
            <w:sz w:val="20"/>
            <w:szCs w:val="22"/>
            <w:lang w:eastAsia="zh-CN"/>
            <w14:ligatures w14:val="none"/>
          </w:rPr>
          <w:t>https://pcw.gov.ph/republic-act-7192/</w:t>
        </w:r>
      </w:hyperlink>
    </w:p>
    <w:p w14:paraId="7D005768"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Dogan, B., &amp; Yıldız, B. (2023). More women in leadership positions: Assessing the dynamics of leadership and empowerment. </w:t>
      </w:r>
      <w:r w:rsidRPr="00B5277D">
        <w:rPr>
          <w:rFonts w:ascii="Times New Roman" w:eastAsia="SimSun" w:hAnsi="Times New Roman" w:cs="Times New Roman"/>
          <w:i/>
          <w:iCs/>
          <w:kern w:val="0"/>
          <w:sz w:val="20"/>
          <w:szCs w:val="22"/>
          <w:lang w:eastAsia="zh-CN"/>
          <w14:ligatures w14:val="none"/>
        </w:rPr>
        <w:t>Journal of Gender Studies</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16</w:t>
      </w:r>
      <w:r w:rsidRPr="00B5277D">
        <w:rPr>
          <w:rFonts w:ascii="Times New Roman" w:eastAsia="SimSun" w:hAnsi="Times New Roman" w:cs="Times New Roman"/>
          <w:kern w:val="0"/>
          <w:sz w:val="20"/>
          <w:szCs w:val="22"/>
          <w:lang w:eastAsia="zh-CN"/>
          <w14:ligatures w14:val="none"/>
        </w:rPr>
        <w:t>(2), 45–59.</w:t>
      </w:r>
    </w:p>
    <w:p w14:paraId="11262B5E"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Dolan, A. (2020). The importance of gender equity and equality in gender mainstreaming. </w:t>
      </w:r>
      <w:r w:rsidRPr="00B5277D">
        <w:rPr>
          <w:rFonts w:ascii="Times New Roman" w:eastAsia="SimSun" w:hAnsi="Times New Roman" w:cs="Times New Roman"/>
          <w:i/>
          <w:iCs/>
          <w:kern w:val="0"/>
          <w:sz w:val="20"/>
          <w:szCs w:val="22"/>
          <w:lang w:eastAsia="zh-CN"/>
          <w14:ligatures w14:val="none"/>
        </w:rPr>
        <w:t>Gender Studies Journal</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32</w:t>
      </w:r>
      <w:r w:rsidRPr="00B5277D">
        <w:rPr>
          <w:rFonts w:ascii="Times New Roman" w:eastAsia="SimSun" w:hAnsi="Times New Roman" w:cs="Times New Roman"/>
          <w:kern w:val="0"/>
          <w:sz w:val="20"/>
          <w:szCs w:val="22"/>
          <w:lang w:eastAsia="zh-CN"/>
          <w14:ligatures w14:val="none"/>
        </w:rPr>
        <w:t>(4), 58–75.</w:t>
      </w:r>
    </w:p>
    <w:p w14:paraId="005A6EEC"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Garcia, M. (2017). Understanding the capacity-building needs of Gender Focal Points in Philippine government offices. </w:t>
      </w:r>
      <w:r w:rsidRPr="00B5277D">
        <w:rPr>
          <w:rFonts w:ascii="Times New Roman" w:eastAsia="SimSun" w:hAnsi="Times New Roman" w:cs="Times New Roman"/>
          <w:i/>
          <w:iCs/>
          <w:kern w:val="0"/>
          <w:sz w:val="20"/>
          <w:szCs w:val="22"/>
          <w:lang w:eastAsia="zh-CN"/>
          <w14:ligatures w14:val="none"/>
        </w:rPr>
        <w:t>Philippine Journal of Gender Studies</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8</w:t>
      </w:r>
      <w:r w:rsidRPr="00B5277D">
        <w:rPr>
          <w:rFonts w:ascii="Times New Roman" w:eastAsia="SimSun" w:hAnsi="Times New Roman" w:cs="Times New Roman"/>
          <w:kern w:val="0"/>
          <w:sz w:val="20"/>
          <w:szCs w:val="22"/>
          <w:lang w:eastAsia="zh-CN"/>
          <w14:ligatures w14:val="none"/>
        </w:rPr>
        <w:t>(2), 112–128.</w:t>
      </w:r>
    </w:p>
    <w:p w14:paraId="285E08EF"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Garcia, M. (2018). Capacity-building initiatives for gender focal points in Philippine government agencies. </w:t>
      </w:r>
      <w:r w:rsidRPr="00B5277D">
        <w:rPr>
          <w:rFonts w:ascii="Times New Roman" w:eastAsia="SimSun" w:hAnsi="Times New Roman" w:cs="Times New Roman"/>
          <w:i/>
          <w:iCs/>
          <w:kern w:val="0"/>
          <w:sz w:val="20"/>
          <w:szCs w:val="22"/>
          <w:lang w:eastAsia="zh-CN"/>
          <w14:ligatures w14:val="none"/>
        </w:rPr>
        <w:t>Journal of Gender Studies</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22</w:t>
      </w:r>
      <w:r w:rsidRPr="00B5277D">
        <w:rPr>
          <w:rFonts w:ascii="Times New Roman" w:eastAsia="SimSun" w:hAnsi="Times New Roman" w:cs="Times New Roman"/>
          <w:kern w:val="0"/>
          <w:sz w:val="20"/>
          <w:szCs w:val="22"/>
          <w:lang w:eastAsia="zh-CN"/>
          <w14:ligatures w14:val="none"/>
        </w:rPr>
        <w:t>(1), 45–60.</w:t>
      </w:r>
    </w:p>
    <w:p w14:paraId="3A899151"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Javier, D. (2019). Training and development for gender focal point system members in higher education institutions. </w:t>
      </w:r>
      <w:r w:rsidRPr="00B5277D">
        <w:rPr>
          <w:rFonts w:ascii="Times New Roman" w:eastAsia="SimSun" w:hAnsi="Times New Roman" w:cs="Times New Roman"/>
          <w:i/>
          <w:iCs/>
          <w:kern w:val="0"/>
          <w:sz w:val="20"/>
          <w:szCs w:val="22"/>
          <w:lang w:eastAsia="zh-CN"/>
          <w14:ligatures w14:val="none"/>
        </w:rPr>
        <w:t>Gender and Education</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31</w:t>
      </w:r>
      <w:r w:rsidRPr="00B5277D">
        <w:rPr>
          <w:rFonts w:ascii="Times New Roman" w:eastAsia="SimSun" w:hAnsi="Times New Roman" w:cs="Times New Roman"/>
          <w:kern w:val="0"/>
          <w:sz w:val="20"/>
          <w:szCs w:val="22"/>
          <w:lang w:eastAsia="zh-CN"/>
          <w14:ligatures w14:val="none"/>
        </w:rPr>
        <w:t>(4), 478–492.</w:t>
      </w:r>
    </w:p>
    <w:p w14:paraId="4A98A625"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lastRenderedPageBreak/>
        <w:t xml:space="preserve">Jütting, J. P., &amp; de la Iglesia, J. R. (2019). </w:t>
      </w:r>
      <w:r w:rsidRPr="00B5277D">
        <w:rPr>
          <w:rFonts w:ascii="Times New Roman" w:eastAsia="SimSun" w:hAnsi="Times New Roman" w:cs="Times New Roman"/>
          <w:i/>
          <w:iCs/>
          <w:kern w:val="0"/>
          <w:sz w:val="20"/>
          <w:szCs w:val="22"/>
          <w:lang w:eastAsia="zh-CN"/>
          <w14:ligatures w14:val="none"/>
        </w:rPr>
        <w:t>Gender analysis and development: The role of tools in mainstreaming gender equality</w:t>
      </w:r>
      <w:r w:rsidRPr="00B5277D">
        <w:rPr>
          <w:rFonts w:ascii="Times New Roman" w:eastAsia="SimSun" w:hAnsi="Times New Roman" w:cs="Times New Roman"/>
          <w:kern w:val="0"/>
          <w:sz w:val="20"/>
          <w:szCs w:val="22"/>
          <w:lang w:eastAsia="zh-CN"/>
          <w14:ligatures w14:val="none"/>
        </w:rPr>
        <w:t>. International Labour Organization.</w:t>
      </w:r>
    </w:p>
    <w:p w14:paraId="5D2AAB7D"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Kabeer, N. (2019). </w:t>
      </w:r>
      <w:r w:rsidRPr="00B5277D">
        <w:rPr>
          <w:rFonts w:ascii="Times New Roman" w:eastAsia="SimSun" w:hAnsi="Times New Roman" w:cs="Times New Roman"/>
          <w:i/>
          <w:iCs/>
          <w:kern w:val="0"/>
          <w:sz w:val="20"/>
          <w:szCs w:val="22"/>
          <w:lang w:eastAsia="zh-CN"/>
          <w14:ligatures w14:val="none"/>
        </w:rPr>
        <w:t>Gender, poverty, and inequality: A review of the concepts and theories</w:t>
      </w:r>
      <w:r w:rsidRPr="00B5277D">
        <w:rPr>
          <w:rFonts w:ascii="Times New Roman" w:eastAsia="SimSun" w:hAnsi="Times New Roman" w:cs="Times New Roman"/>
          <w:kern w:val="0"/>
          <w:sz w:val="20"/>
          <w:szCs w:val="22"/>
          <w:lang w:eastAsia="zh-CN"/>
          <w14:ligatures w14:val="none"/>
        </w:rPr>
        <w:t>. Routledge.</w:t>
      </w:r>
    </w:p>
    <w:p w14:paraId="4901B047"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Llanes, R. (2014a). Challenges in Gender and Development mainstreaming in higher education institutions. </w:t>
      </w:r>
      <w:r w:rsidRPr="00B5277D">
        <w:rPr>
          <w:rFonts w:ascii="Times New Roman" w:eastAsia="SimSun" w:hAnsi="Times New Roman" w:cs="Times New Roman"/>
          <w:i/>
          <w:iCs/>
          <w:kern w:val="0"/>
          <w:sz w:val="20"/>
          <w:szCs w:val="22"/>
          <w:lang w:eastAsia="zh-CN"/>
          <w14:ligatures w14:val="none"/>
        </w:rPr>
        <w:t>Journal of Gender Studies</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23</w:t>
      </w:r>
      <w:r w:rsidRPr="00B5277D">
        <w:rPr>
          <w:rFonts w:ascii="Times New Roman" w:eastAsia="SimSun" w:hAnsi="Times New Roman" w:cs="Times New Roman"/>
          <w:kern w:val="0"/>
          <w:sz w:val="20"/>
          <w:szCs w:val="22"/>
          <w:lang w:eastAsia="zh-CN"/>
          <w14:ligatures w14:val="none"/>
        </w:rPr>
        <w:t>(3), 298–312.</w:t>
      </w:r>
    </w:p>
    <w:p w14:paraId="60D473C6"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Llanes, R. (2014b). The effectiveness of capacity-building for gender mainstreaming in Philippine state universities. </w:t>
      </w:r>
      <w:r w:rsidRPr="00B5277D">
        <w:rPr>
          <w:rFonts w:ascii="Times New Roman" w:eastAsia="SimSun" w:hAnsi="Times New Roman" w:cs="Times New Roman"/>
          <w:i/>
          <w:iCs/>
          <w:kern w:val="0"/>
          <w:sz w:val="20"/>
          <w:szCs w:val="22"/>
          <w:lang w:eastAsia="zh-CN"/>
          <w14:ligatures w14:val="none"/>
        </w:rPr>
        <w:t>Philippine Journal of Public Administration</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58</w:t>
      </w:r>
      <w:r w:rsidRPr="00B5277D">
        <w:rPr>
          <w:rFonts w:ascii="Times New Roman" w:eastAsia="SimSun" w:hAnsi="Times New Roman" w:cs="Times New Roman"/>
          <w:kern w:val="0"/>
          <w:sz w:val="20"/>
          <w:szCs w:val="22"/>
          <w:lang w:eastAsia="zh-CN"/>
          <w14:ligatures w14:val="none"/>
        </w:rPr>
        <w:t>(3), 230–245.</w:t>
      </w:r>
    </w:p>
    <w:p w14:paraId="516A66EB"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Lutz, K. (2019). The role of age and experience in shaping leadership effectiveness. </w:t>
      </w:r>
      <w:r w:rsidRPr="00B5277D">
        <w:rPr>
          <w:rFonts w:ascii="Times New Roman" w:eastAsia="SimSun" w:hAnsi="Times New Roman" w:cs="Times New Roman"/>
          <w:i/>
          <w:iCs/>
          <w:kern w:val="0"/>
          <w:sz w:val="20"/>
          <w:szCs w:val="22"/>
          <w:lang w:eastAsia="zh-CN"/>
          <w14:ligatures w14:val="none"/>
        </w:rPr>
        <w:t>Leadership Studies Journal</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11</w:t>
      </w:r>
      <w:r w:rsidRPr="00B5277D">
        <w:rPr>
          <w:rFonts w:ascii="Times New Roman" w:eastAsia="SimSun" w:hAnsi="Times New Roman" w:cs="Times New Roman"/>
          <w:kern w:val="0"/>
          <w:sz w:val="20"/>
          <w:szCs w:val="22"/>
          <w:lang w:eastAsia="zh-CN"/>
          <w14:ligatures w14:val="none"/>
        </w:rPr>
        <w:t>(3), 82–98.</w:t>
      </w:r>
    </w:p>
    <w:p w14:paraId="79FB261A"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Medina, V., &amp; Juanillo, A. (2020). Enhancing the effectiveness of GFPS through capacity-building programs. </w:t>
      </w:r>
      <w:r w:rsidRPr="00B5277D">
        <w:rPr>
          <w:rFonts w:ascii="Times New Roman" w:eastAsia="SimSun" w:hAnsi="Times New Roman" w:cs="Times New Roman"/>
          <w:i/>
          <w:iCs/>
          <w:kern w:val="0"/>
          <w:sz w:val="20"/>
          <w:szCs w:val="22"/>
          <w:lang w:eastAsia="zh-CN"/>
          <w14:ligatures w14:val="none"/>
        </w:rPr>
        <w:t>Journal of Gender and Development</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22</w:t>
      </w:r>
      <w:r w:rsidRPr="00B5277D">
        <w:rPr>
          <w:rFonts w:ascii="Times New Roman" w:eastAsia="SimSun" w:hAnsi="Times New Roman" w:cs="Times New Roman"/>
          <w:kern w:val="0"/>
          <w:sz w:val="20"/>
          <w:szCs w:val="22"/>
          <w:lang w:eastAsia="zh-CN"/>
          <w14:ligatures w14:val="none"/>
        </w:rPr>
        <w:t>(1), 40–55.</w:t>
      </w:r>
    </w:p>
    <w:p w14:paraId="32F1A064"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Moser, C. O. N. (2019). </w:t>
      </w:r>
      <w:r w:rsidRPr="00B5277D">
        <w:rPr>
          <w:rFonts w:ascii="Times New Roman" w:eastAsia="SimSun" w:hAnsi="Times New Roman" w:cs="Times New Roman"/>
          <w:i/>
          <w:iCs/>
          <w:kern w:val="0"/>
          <w:sz w:val="20"/>
          <w:szCs w:val="22"/>
          <w:lang w:eastAsia="zh-CN"/>
          <w14:ligatures w14:val="none"/>
        </w:rPr>
        <w:t>Gender planning and development: Theory, practice, and training</w:t>
      </w:r>
      <w:r w:rsidRPr="00B5277D">
        <w:rPr>
          <w:rFonts w:ascii="Times New Roman" w:eastAsia="SimSun" w:hAnsi="Times New Roman" w:cs="Times New Roman"/>
          <w:kern w:val="0"/>
          <w:sz w:val="20"/>
          <w:szCs w:val="22"/>
          <w:lang w:eastAsia="zh-CN"/>
          <w14:ligatures w14:val="none"/>
        </w:rPr>
        <w:t>. Routledge.</w:t>
      </w:r>
    </w:p>
    <w:p w14:paraId="7AA2FA5C"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Philippine Commission on Women. (2011a). </w:t>
      </w:r>
      <w:r w:rsidRPr="00B5277D">
        <w:rPr>
          <w:rFonts w:ascii="Times New Roman" w:eastAsia="SimSun" w:hAnsi="Times New Roman" w:cs="Times New Roman"/>
          <w:i/>
          <w:iCs/>
          <w:kern w:val="0"/>
          <w:sz w:val="20"/>
          <w:szCs w:val="22"/>
          <w:lang w:eastAsia="zh-CN"/>
          <w14:ligatures w14:val="none"/>
        </w:rPr>
        <w:t>Guidelines for the creation, strengthening and institutionalization of the GFPS</w:t>
      </w:r>
      <w:r w:rsidRPr="00B5277D">
        <w:rPr>
          <w:rFonts w:ascii="Times New Roman" w:eastAsia="SimSun" w:hAnsi="Times New Roman" w:cs="Times New Roman"/>
          <w:kern w:val="0"/>
          <w:sz w:val="20"/>
          <w:szCs w:val="22"/>
          <w:lang w:eastAsia="zh-CN"/>
          <w14:ligatures w14:val="none"/>
        </w:rPr>
        <w:t xml:space="preserve">. </w:t>
      </w:r>
      <w:hyperlink r:id="rId10" w:tgtFrame="_blank" w:history="1">
        <w:r w:rsidRPr="00B5277D">
          <w:rPr>
            <w:rStyle w:val="Hyperlink"/>
            <w:rFonts w:ascii="Times New Roman" w:eastAsia="SimSun" w:hAnsi="Times New Roman" w:cs="Times New Roman"/>
            <w:kern w:val="0"/>
            <w:sz w:val="20"/>
            <w:szCs w:val="22"/>
            <w:lang w:eastAsia="zh-CN"/>
            <w14:ligatures w14:val="none"/>
          </w:rPr>
          <w:t>https://pcw.gov.ph</w:t>
        </w:r>
      </w:hyperlink>
    </w:p>
    <w:p w14:paraId="596B9A0D"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Philippine Commission on Women. (2011b). </w:t>
      </w:r>
      <w:r w:rsidRPr="00B5277D">
        <w:rPr>
          <w:rFonts w:ascii="Times New Roman" w:eastAsia="SimSun" w:hAnsi="Times New Roman" w:cs="Times New Roman"/>
          <w:i/>
          <w:iCs/>
          <w:kern w:val="0"/>
          <w:sz w:val="20"/>
          <w:szCs w:val="22"/>
          <w:lang w:eastAsia="zh-CN"/>
          <w14:ligatures w14:val="none"/>
        </w:rPr>
        <w:t>Memorandum Circular No. 2011-01: Guidelines on the creation and strengthening of Gender and Development (GAD) Focal Point Systems (GFPS) in government agencies and instrumentalities</w:t>
      </w:r>
      <w:r w:rsidRPr="00B5277D">
        <w:rPr>
          <w:rFonts w:ascii="Times New Roman" w:eastAsia="SimSun" w:hAnsi="Times New Roman" w:cs="Times New Roman"/>
          <w:kern w:val="0"/>
          <w:sz w:val="20"/>
          <w:szCs w:val="22"/>
          <w:lang w:eastAsia="zh-CN"/>
          <w14:ligatures w14:val="none"/>
        </w:rPr>
        <w:t xml:space="preserve">. </w:t>
      </w:r>
      <w:hyperlink r:id="rId11" w:tgtFrame="_blank" w:history="1">
        <w:r w:rsidRPr="00B5277D">
          <w:rPr>
            <w:rStyle w:val="Hyperlink"/>
            <w:rFonts w:ascii="Times New Roman" w:eastAsia="SimSun" w:hAnsi="Times New Roman" w:cs="Times New Roman"/>
            <w:kern w:val="0"/>
            <w:sz w:val="20"/>
            <w:szCs w:val="22"/>
            <w:lang w:eastAsia="zh-CN"/>
            <w14:ligatures w14:val="none"/>
          </w:rPr>
          <w:t>https://www.pcw.gov.ph</w:t>
        </w:r>
      </w:hyperlink>
    </w:p>
    <w:p w14:paraId="1001BDAA"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Philippine Commission on Women. (2016a). </w:t>
      </w:r>
      <w:r w:rsidRPr="00B5277D">
        <w:rPr>
          <w:rFonts w:ascii="Times New Roman" w:eastAsia="SimSun" w:hAnsi="Times New Roman" w:cs="Times New Roman"/>
          <w:i/>
          <w:iCs/>
          <w:kern w:val="0"/>
          <w:sz w:val="20"/>
          <w:szCs w:val="22"/>
          <w:lang w:eastAsia="zh-CN"/>
          <w14:ligatures w14:val="none"/>
        </w:rPr>
        <w:t>Gender and Development (GAD) Handbook</w:t>
      </w:r>
      <w:r w:rsidRPr="00B5277D">
        <w:rPr>
          <w:rFonts w:ascii="Times New Roman" w:eastAsia="SimSun" w:hAnsi="Times New Roman" w:cs="Times New Roman"/>
          <w:kern w:val="0"/>
          <w:sz w:val="20"/>
          <w:szCs w:val="22"/>
          <w:lang w:eastAsia="zh-CN"/>
          <w14:ligatures w14:val="none"/>
        </w:rPr>
        <w:t xml:space="preserve">. </w:t>
      </w:r>
      <w:hyperlink r:id="rId12" w:tgtFrame="_blank" w:history="1">
        <w:r w:rsidRPr="00B5277D">
          <w:rPr>
            <w:rStyle w:val="Hyperlink"/>
            <w:rFonts w:ascii="Times New Roman" w:eastAsia="SimSun" w:hAnsi="Times New Roman" w:cs="Times New Roman"/>
            <w:kern w:val="0"/>
            <w:sz w:val="20"/>
            <w:szCs w:val="22"/>
            <w:lang w:eastAsia="zh-CN"/>
            <w14:ligatures w14:val="none"/>
          </w:rPr>
          <w:t>https://pcw.gov.ph</w:t>
        </w:r>
      </w:hyperlink>
    </w:p>
    <w:p w14:paraId="2DD5ED8A"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Philippine Commission on Women. (2016b). </w:t>
      </w:r>
      <w:r w:rsidRPr="00B5277D">
        <w:rPr>
          <w:rFonts w:ascii="Times New Roman" w:eastAsia="SimSun" w:hAnsi="Times New Roman" w:cs="Times New Roman"/>
          <w:i/>
          <w:iCs/>
          <w:kern w:val="0"/>
          <w:sz w:val="20"/>
          <w:szCs w:val="22"/>
          <w:lang w:eastAsia="zh-CN"/>
          <w14:ligatures w14:val="none"/>
        </w:rPr>
        <w:t>Harmonized Gender and Development guidelines for project development, implementation, monitoring and evaluation</w:t>
      </w:r>
      <w:r w:rsidRPr="00B5277D">
        <w:rPr>
          <w:rFonts w:ascii="Times New Roman" w:eastAsia="SimSun" w:hAnsi="Times New Roman" w:cs="Times New Roman"/>
          <w:kern w:val="0"/>
          <w:sz w:val="20"/>
          <w:szCs w:val="22"/>
          <w:lang w:eastAsia="zh-CN"/>
          <w14:ligatures w14:val="none"/>
        </w:rPr>
        <w:t xml:space="preserve">. </w:t>
      </w:r>
      <w:hyperlink r:id="rId13" w:tgtFrame="_blank" w:history="1">
        <w:r w:rsidRPr="00B5277D">
          <w:rPr>
            <w:rStyle w:val="Hyperlink"/>
            <w:rFonts w:ascii="Times New Roman" w:eastAsia="SimSun" w:hAnsi="Times New Roman" w:cs="Times New Roman"/>
            <w:kern w:val="0"/>
            <w:sz w:val="20"/>
            <w:szCs w:val="22"/>
            <w:lang w:eastAsia="zh-CN"/>
            <w14:ligatures w14:val="none"/>
          </w:rPr>
          <w:t>https://pcw.gov.ph</w:t>
        </w:r>
      </w:hyperlink>
    </w:p>
    <w:p w14:paraId="03068541"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Philippine Commission on Women. (2021a). </w:t>
      </w:r>
      <w:r w:rsidRPr="00B5277D">
        <w:rPr>
          <w:rFonts w:ascii="Times New Roman" w:eastAsia="SimSun" w:hAnsi="Times New Roman" w:cs="Times New Roman"/>
          <w:i/>
          <w:iCs/>
          <w:kern w:val="0"/>
          <w:sz w:val="20"/>
          <w:szCs w:val="22"/>
          <w:lang w:eastAsia="zh-CN"/>
          <w14:ligatures w14:val="none"/>
        </w:rPr>
        <w:t>Gender Mainstreaming Monitoring and Evaluation Framework (GMEF) manual</w:t>
      </w:r>
      <w:r w:rsidRPr="00B5277D">
        <w:rPr>
          <w:rFonts w:ascii="Times New Roman" w:eastAsia="SimSun" w:hAnsi="Times New Roman" w:cs="Times New Roman"/>
          <w:kern w:val="0"/>
          <w:sz w:val="20"/>
          <w:szCs w:val="22"/>
          <w:lang w:eastAsia="zh-CN"/>
          <w14:ligatures w14:val="none"/>
        </w:rPr>
        <w:t xml:space="preserve">. </w:t>
      </w:r>
      <w:hyperlink r:id="rId14" w:tgtFrame="_blank" w:history="1">
        <w:r w:rsidRPr="00B5277D">
          <w:rPr>
            <w:rStyle w:val="Hyperlink"/>
            <w:rFonts w:ascii="Times New Roman" w:eastAsia="SimSun" w:hAnsi="Times New Roman" w:cs="Times New Roman"/>
            <w:kern w:val="0"/>
            <w:sz w:val="20"/>
            <w:szCs w:val="22"/>
            <w:lang w:eastAsia="zh-CN"/>
            <w14:ligatures w14:val="none"/>
          </w:rPr>
          <w:t>https://pcw.gov.ph</w:t>
        </w:r>
      </w:hyperlink>
    </w:p>
    <w:p w14:paraId="2C32B1FB"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Philippine Commission on Women. (2021b). </w:t>
      </w:r>
      <w:r w:rsidRPr="00B5277D">
        <w:rPr>
          <w:rFonts w:ascii="Times New Roman" w:eastAsia="SimSun" w:hAnsi="Times New Roman" w:cs="Times New Roman"/>
          <w:i/>
          <w:iCs/>
          <w:kern w:val="0"/>
          <w:sz w:val="20"/>
          <w:szCs w:val="22"/>
          <w:lang w:eastAsia="zh-CN"/>
          <w14:ligatures w14:val="none"/>
        </w:rPr>
        <w:t>Guidelines on the localization of the Magna Carta of Women</w:t>
      </w:r>
      <w:r w:rsidRPr="00B5277D">
        <w:rPr>
          <w:rFonts w:ascii="Times New Roman" w:eastAsia="SimSun" w:hAnsi="Times New Roman" w:cs="Times New Roman"/>
          <w:kern w:val="0"/>
          <w:sz w:val="20"/>
          <w:szCs w:val="22"/>
          <w:lang w:eastAsia="zh-CN"/>
          <w14:ligatures w14:val="none"/>
        </w:rPr>
        <w:t xml:space="preserve">. </w:t>
      </w:r>
      <w:hyperlink r:id="rId15" w:tgtFrame="_blank" w:history="1">
        <w:r w:rsidRPr="00B5277D">
          <w:rPr>
            <w:rStyle w:val="Hyperlink"/>
            <w:rFonts w:ascii="Times New Roman" w:eastAsia="SimSun" w:hAnsi="Times New Roman" w:cs="Times New Roman"/>
            <w:kern w:val="0"/>
            <w:sz w:val="20"/>
            <w:szCs w:val="22"/>
            <w:lang w:eastAsia="zh-CN"/>
            <w14:ligatures w14:val="none"/>
          </w:rPr>
          <w:t>https://pcw.gov.ph</w:t>
        </w:r>
      </w:hyperlink>
    </w:p>
    <w:p w14:paraId="2FE2B9D6"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Philippine Commission on Women &amp; National Economic and Development Authority. (2012a). </w:t>
      </w:r>
      <w:r w:rsidRPr="00B5277D">
        <w:rPr>
          <w:rFonts w:ascii="Times New Roman" w:eastAsia="SimSun" w:hAnsi="Times New Roman" w:cs="Times New Roman"/>
          <w:i/>
          <w:iCs/>
          <w:kern w:val="0"/>
          <w:sz w:val="20"/>
          <w:szCs w:val="22"/>
          <w:lang w:eastAsia="zh-CN"/>
          <w14:ligatures w14:val="none"/>
        </w:rPr>
        <w:t>Gender Mainstreaming Evaluation Framework handbook</w:t>
      </w:r>
      <w:r w:rsidRPr="00B5277D">
        <w:rPr>
          <w:rFonts w:ascii="Times New Roman" w:eastAsia="SimSun" w:hAnsi="Times New Roman" w:cs="Times New Roman"/>
          <w:kern w:val="0"/>
          <w:sz w:val="20"/>
          <w:szCs w:val="22"/>
          <w:lang w:eastAsia="zh-CN"/>
          <w14:ligatures w14:val="none"/>
        </w:rPr>
        <w:t xml:space="preserve">. </w:t>
      </w:r>
      <w:hyperlink r:id="rId16" w:tgtFrame="_blank" w:history="1">
        <w:r w:rsidRPr="00B5277D">
          <w:rPr>
            <w:rStyle w:val="Hyperlink"/>
            <w:rFonts w:ascii="Times New Roman" w:eastAsia="SimSun" w:hAnsi="Times New Roman" w:cs="Times New Roman"/>
            <w:kern w:val="0"/>
            <w:sz w:val="20"/>
            <w:szCs w:val="22"/>
            <w:lang w:eastAsia="zh-CN"/>
            <w14:ligatures w14:val="none"/>
          </w:rPr>
          <w:t>https://pcw.gov.ph</w:t>
        </w:r>
      </w:hyperlink>
    </w:p>
    <w:p w14:paraId="28001472"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Philippine Commission on Women &amp; National Economic and Development Authority. (2012b). </w:t>
      </w:r>
      <w:r w:rsidRPr="00B5277D">
        <w:rPr>
          <w:rFonts w:ascii="Times New Roman" w:eastAsia="SimSun" w:hAnsi="Times New Roman" w:cs="Times New Roman"/>
          <w:i/>
          <w:iCs/>
          <w:kern w:val="0"/>
          <w:sz w:val="20"/>
          <w:szCs w:val="22"/>
          <w:lang w:eastAsia="zh-CN"/>
          <w14:ligatures w14:val="none"/>
        </w:rPr>
        <w:t>Harmonized Gender and Development guidelines for project development, implementation, monitoring and evaluation</w:t>
      </w:r>
      <w:r w:rsidRPr="00B5277D">
        <w:rPr>
          <w:rFonts w:ascii="Times New Roman" w:eastAsia="SimSun" w:hAnsi="Times New Roman" w:cs="Times New Roman"/>
          <w:kern w:val="0"/>
          <w:sz w:val="20"/>
          <w:szCs w:val="22"/>
          <w:lang w:eastAsia="zh-CN"/>
          <w14:ligatures w14:val="none"/>
        </w:rPr>
        <w:t xml:space="preserve"> (2nd ed.). </w:t>
      </w:r>
      <w:hyperlink r:id="rId17" w:tgtFrame="_blank" w:history="1">
        <w:r w:rsidRPr="00B5277D">
          <w:rPr>
            <w:rStyle w:val="Hyperlink"/>
            <w:rFonts w:ascii="Times New Roman" w:eastAsia="SimSun" w:hAnsi="Times New Roman" w:cs="Times New Roman"/>
            <w:kern w:val="0"/>
            <w:sz w:val="20"/>
            <w:szCs w:val="22"/>
            <w:lang w:eastAsia="zh-CN"/>
            <w14:ligatures w14:val="none"/>
          </w:rPr>
          <w:t>https://pcw.gov.ph/hgdg</w:t>
        </w:r>
      </w:hyperlink>
    </w:p>
    <w:p w14:paraId="261D1AC1"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Ridgeway, C. L. (2021). </w:t>
      </w:r>
      <w:r w:rsidRPr="00B5277D">
        <w:rPr>
          <w:rFonts w:ascii="Times New Roman" w:eastAsia="SimSun" w:hAnsi="Times New Roman" w:cs="Times New Roman"/>
          <w:i/>
          <w:iCs/>
          <w:kern w:val="0"/>
          <w:sz w:val="20"/>
          <w:szCs w:val="22"/>
          <w:lang w:eastAsia="zh-CN"/>
          <w14:ligatures w14:val="none"/>
        </w:rPr>
        <w:t>Why status matters for gender equality: An integration of theory and research</w:t>
      </w:r>
      <w:r w:rsidRPr="00B5277D">
        <w:rPr>
          <w:rFonts w:ascii="Times New Roman" w:eastAsia="SimSun" w:hAnsi="Times New Roman" w:cs="Times New Roman"/>
          <w:kern w:val="0"/>
          <w:sz w:val="20"/>
          <w:szCs w:val="22"/>
          <w:lang w:eastAsia="zh-CN"/>
          <w14:ligatures w14:val="none"/>
        </w:rPr>
        <w:t>. Oxford University Press.</w:t>
      </w:r>
    </w:p>
    <w:p w14:paraId="45982093"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Salazar, M. L., &amp; Aquino, M. T. (2017). Assessment of Gender and Development mainstreaming in selected government agencies. </w:t>
      </w:r>
      <w:r w:rsidRPr="00B5277D">
        <w:rPr>
          <w:rFonts w:ascii="Times New Roman" w:eastAsia="SimSun" w:hAnsi="Times New Roman" w:cs="Times New Roman"/>
          <w:i/>
          <w:iCs/>
          <w:kern w:val="0"/>
          <w:sz w:val="20"/>
          <w:szCs w:val="22"/>
          <w:lang w:eastAsia="zh-CN"/>
          <w14:ligatures w14:val="none"/>
        </w:rPr>
        <w:t>Public Policy Journal</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18</w:t>
      </w:r>
      <w:r w:rsidRPr="00B5277D">
        <w:rPr>
          <w:rFonts w:ascii="Times New Roman" w:eastAsia="SimSun" w:hAnsi="Times New Roman" w:cs="Times New Roman"/>
          <w:kern w:val="0"/>
          <w:sz w:val="20"/>
          <w:szCs w:val="22"/>
          <w:lang w:eastAsia="zh-CN"/>
          <w14:ligatures w14:val="none"/>
        </w:rPr>
        <w:t>(2), 75–90.</w:t>
      </w:r>
    </w:p>
    <w:p w14:paraId="782685A9"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Salazar, R., &amp; Aquino, C. (2017). Implementing GAD policies and tools in government offices: A study of GFPS committees. </w:t>
      </w:r>
      <w:r w:rsidRPr="00B5277D">
        <w:rPr>
          <w:rFonts w:ascii="Times New Roman" w:eastAsia="SimSun" w:hAnsi="Times New Roman" w:cs="Times New Roman"/>
          <w:i/>
          <w:iCs/>
          <w:kern w:val="0"/>
          <w:sz w:val="20"/>
          <w:szCs w:val="22"/>
          <w:lang w:eastAsia="zh-CN"/>
          <w14:ligatures w14:val="none"/>
        </w:rPr>
        <w:t>Journal of Philippine Public Policy</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29</w:t>
      </w:r>
      <w:r w:rsidRPr="00B5277D">
        <w:rPr>
          <w:rFonts w:ascii="Times New Roman" w:eastAsia="SimSun" w:hAnsi="Times New Roman" w:cs="Times New Roman"/>
          <w:kern w:val="0"/>
          <w:sz w:val="20"/>
          <w:szCs w:val="22"/>
          <w:lang w:eastAsia="zh-CN"/>
          <w14:ligatures w14:val="none"/>
        </w:rPr>
        <w:t>(3), 332–345.</w:t>
      </w:r>
    </w:p>
    <w:p w14:paraId="78E29190"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Santos, G., &amp; Ramos, L. (2019). Evaluating the role of GFPS in gender mainstreaming at state universities. </w:t>
      </w:r>
      <w:r w:rsidRPr="00B5277D">
        <w:rPr>
          <w:rFonts w:ascii="Times New Roman" w:eastAsia="SimSun" w:hAnsi="Times New Roman" w:cs="Times New Roman"/>
          <w:i/>
          <w:iCs/>
          <w:kern w:val="0"/>
          <w:sz w:val="20"/>
          <w:szCs w:val="22"/>
          <w:lang w:eastAsia="zh-CN"/>
          <w14:ligatures w14:val="none"/>
        </w:rPr>
        <w:t>Philippine Journal of Public Policy</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23</w:t>
      </w:r>
      <w:r w:rsidRPr="00B5277D">
        <w:rPr>
          <w:rFonts w:ascii="Times New Roman" w:eastAsia="SimSun" w:hAnsi="Times New Roman" w:cs="Times New Roman"/>
          <w:kern w:val="0"/>
          <w:sz w:val="20"/>
          <w:szCs w:val="22"/>
          <w:lang w:eastAsia="zh-CN"/>
          <w14:ligatures w14:val="none"/>
        </w:rPr>
        <w:t>(3), 312–324.</w:t>
      </w:r>
    </w:p>
    <w:p w14:paraId="26F7342E"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Schultz, P., &amp; Asher, D. (2018). The role of higher education in gender mainstreaming: The influence of educational attainment on policy design. </w:t>
      </w:r>
      <w:r w:rsidRPr="00B5277D">
        <w:rPr>
          <w:rFonts w:ascii="Times New Roman" w:eastAsia="SimSun" w:hAnsi="Times New Roman" w:cs="Times New Roman"/>
          <w:i/>
          <w:iCs/>
          <w:kern w:val="0"/>
          <w:sz w:val="20"/>
          <w:szCs w:val="22"/>
          <w:lang w:eastAsia="zh-CN"/>
          <w14:ligatures w14:val="none"/>
        </w:rPr>
        <w:t>Gender Policy and Education Journal</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21</w:t>
      </w:r>
      <w:r w:rsidRPr="00B5277D">
        <w:rPr>
          <w:rFonts w:ascii="Times New Roman" w:eastAsia="SimSun" w:hAnsi="Times New Roman" w:cs="Times New Roman"/>
          <w:kern w:val="0"/>
          <w:sz w:val="20"/>
          <w:szCs w:val="22"/>
          <w:lang w:eastAsia="zh-CN"/>
          <w14:ligatures w14:val="none"/>
        </w:rPr>
        <w:t>(4), 202–217.</w:t>
      </w:r>
    </w:p>
    <w:p w14:paraId="74998DB8"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Solomon, M. (2018). The importance of long-term involvement in gender mainstreaming. </w:t>
      </w:r>
      <w:r w:rsidRPr="00B5277D">
        <w:rPr>
          <w:rFonts w:ascii="Times New Roman" w:eastAsia="SimSun" w:hAnsi="Times New Roman" w:cs="Times New Roman"/>
          <w:i/>
          <w:iCs/>
          <w:kern w:val="0"/>
          <w:sz w:val="20"/>
          <w:szCs w:val="22"/>
          <w:lang w:eastAsia="zh-CN"/>
          <w14:ligatures w14:val="none"/>
        </w:rPr>
        <w:t>Public Policy and Gender</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18</w:t>
      </w:r>
      <w:r w:rsidRPr="00B5277D">
        <w:rPr>
          <w:rFonts w:ascii="Times New Roman" w:eastAsia="SimSun" w:hAnsi="Times New Roman" w:cs="Times New Roman"/>
          <w:kern w:val="0"/>
          <w:sz w:val="20"/>
          <w:szCs w:val="22"/>
          <w:lang w:eastAsia="zh-CN"/>
          <w14:ligatures w14:val="none"/>
        </w:rPr>
        <w:t>(2), 75–90.</w:t>
      </w:r>
    </w:p>
    <w:p w14:paraId="41DEB0D9"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True, J. (2003). Mainstreaming gender in global public policy. </w:t>
      </w:r>
      <w:r w:rsidRPr="00B5277D">
        <w:rPr>
          <w:rFonts w:ascii="Times New Roman" w:eastAsia="SimSun" w:hAnsi="Times New Roman" w:cs="Times New Roman"/>
          <w:i/>
          <w:iCs/>
          <w:kern w:val="0"/>
          <w:sz w:val="20"/>
          <w:szCs w:val="22"/>
          <w:lang w:eastAsia="zh-CN"/>
          <w14:ligatures w14:val="none"/>
        </w:rPr>
        <w:t>International Feminist Journal of Politics</w:t>
      </w:r>
      <w:r w:rsidRPr="00B5277D">
        <w:rPr>
          <w:rFonts w:ascii="Times New Roman" w:eastAsia="SimSun" w:hAnsi="Times New Roman" w:cs="Times New Roman"/>
          <w:kern w:val="0"/>
          <w:sz w:val="20"/>
          <w:szCs w:val="22"/>
          <w:lang w:eastAsia="zh-CN"/>
          <w14:ligatures w14:val="none"/>
        </w:rPr>
        <w:t xml:space="preserve">, </w:t>
      </w:r>
      <w:r w:rsidRPr="00B5277D">
        <w:rPr>
          <w:rFonts w:ascii="Times New Roman" w:eastAsia="SimSun" w:hAnsi="Times New Roman" w:cs="Times New Roman"/>
          <w:i/>
          <w:iCs/>
          <w:kern w:val="0"/>
          <w:sz w:val="20"/>
          <w:szCs w:val="22"/>
          <w:lang w:eastAsia="zh-CN"/>
          <w14:ligatures w14:val="none"/>
        </w:rPr>
        <w:t>5</w:t>
      </w:r>
      <w:r w:rsidRPr="00B5277D">
        <w:rPr>
          <w:rFonts w:ascii="Times New Roman" w:eastAsia="SimSun" w:hAnsi="Times New Roman" w:cs="Times New Roman"/>
          <w:kern w:val="0"/>
          <w:sz w:val="20"/>
          <w:szCs w:val="22"/>
          <w:lang w:eastAsia="zh-CN"/>
          <w14:ligatures w14:val="none"/>
        </w:rPr>
        <w:t xml:space="preserve">(3), 368–396. </w:t>
      </w:r>
      <w:hyperlink w:tgtFrame="_blank" w:history="1">
        <w:r w:rsidRPr="00B5277D">
          <w:rPr>
            <w:rStyle w:val="Hyperlink"/>
            <w:rFonts w:ascii="Times New Roman" w:eastAsia="SimSun" w:hAnsi="Times New Roman" w:cs="Times New Roman"/>
            <w:kern w:val="0"/>
            <w:sz w:val="20"/>
            <w:szCs w:val="22"/>
            <w:lang w:eastAsia="zh-CN"/>
            <w14:ligatures w14:val="none"/>
          </w:rPr>
          <w:t>https://doi.org/10.1080/1461674032000122758</w:t>
        </w:r>
      </w:hyperlink>
    </w:p>
    <w:p w14:paraId="173348FB"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United Nations. (n.d.). </w:t>
      </w:r>
      <w:r w:rsidRPr="00B5277D">
        <w:rPr>
          <w:rFonts w:ascii="Times New Roman" w:eastAsia="SimSun" w:hAnsi="Times New Roman" w:cs="Times New Roman"/>
          <w:i/>
          <w:iCs/>
          <w:kern w:val="0"/>
          <w:sz w:val="20"/>
          <w:szCs w:val="22"/>
          <w:lang w:eastAsia="zh-CN"/>
          <w14:ligatures w14:val="none"/>
        </w:rPr>
        <w:t>Sustainable Development Goal 5: Achieve gender equality and empower all women and girls</w:t>
      </w:r>
      <w:r w:rsidRPr="00B5277D">
        <w:rPr>
          <w:rFonts w:ascii="Times New Roman" w:eastAsia="SimSun" w:hAnsi="Times New Roman" w:cs="Times New Roman"/>
          <w:kern w:val="0"/>
          <w:sz w:val="20"/>
          <w:szCs w:val="22"/>
          <w:lang w:eastAsia="zh-CN"/>
          <w14:ligatures w14:val="none"/>
        </w:rPr>
        <w:t xml:space="preserve">. </w:t>
      </w:r>
      <w:hyperlink w:tgtFrame="_blank" w:history="1">
        <w:r w:rsidRPr="00B5277D">
          <w:rPr>
            <w:rStyle w:val="Hyperlink"/>
            <w:rFonts w:ascii="Times New Roman" w:eastAsia="SimSun" w:hAnsi="Times New Roman" w:cs="Times New Roman"/>
            <w:kern w:val="0"/>
            <w:sz w:val="20"/>
            <w:szCs w:val="22"/>
            <w:lang w:eastAsia="zh-CN"/>
            <w14:ligatures w14:val="none"/>
          </w:rPr>
          <w:t>https://www.un.org/sustainabledevelopment/gender-equality/</w:t>
        </w:r>
      </w:hyperlink>
    </w:p>
    <w:p w14:paraId="258377FD"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United Nations Development Programme. (2016a). </w:t>
      </w:r>
      <w:r w:rsidRPr="00B5277D">
        <w:rPr>
          <w:rFonts w:ascii="Times New Roman" w:eastAsia="SimSun" w:hAnsi="Times New Roman" w:cs="Times New Roman"/>
          <w:i/>
          <w:iCs/>
          <w:kern w:val="0"/>
          <w:sz w:val="20"/>
          <w:szCs w:val="22"/>
          <w:lang w:eastAsia="zh-CN"/>
          <w14:ligatures w14:val="none"/>
        </w:rPr>
        <w:t>Capacity development: A UNDP primer</w:t>
      </w:r>
      <w:r w:rsidRPr="00B5277D">
        <w:rPr>
          <w:rFonts w:ascii="Times New Roman" w:eastAsia="SimSun" w:hAnsi="Times New Roman" w:cs="Times New Roman"/>
          <w:kern w:val="0"/>
          <w:sz w:val="20"/>
          <w:szCs w:val="22"/>
          <w:lang w:eastAsia="zh-CN"/>
          <w14:ligatures w14:val="none"/>
        </w:rPr>
        <w:t xml:space="preserve">. </w:t>
      </w:r>
      <w:hyperlink w:tgtFrame="_blank" w:history="1">
        <w:r w:rsidRPr="00B5277D">
          <w:rPr>
            <w:rStyle w:val="Hyperlink"/>
            <w:rFonts w:ascii="Times New Roman" w:eastAsia="SimSun" w:hAnsi="Times New Roman" w:cs="Times New Roman"/>
            <w:kern w:val="0"/>
            <w:sz w:val="20"/>
            <w:szCs w:val="22"/>
            <w:lang w:eastAsia="zh-CN"/>
            <w14:ligatures w14:val="none"/>
          </w:rPr>
          <w:t>https://www.undp.org/publications/capacity-development-undp-primer</w:t>
        </w:r>
      </w:hyperlink>
    </w:p>
    <w:p w14:paraId="3F9EDE3B"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United Nations Development Programme. (2016b). </w:t>
      </w:r>
      <w:r w:rsidRPr="00B5277D">
        <w:rPr>
          <w:rFonts w:ascii="Times New Roman" w:eastAsia="SimSun" w:hAnsi="Times New Roman" w:cs="Times New Roman"/>
          <w:i/>
          <w:iCs/>
          <w:kern w:val="0"/>
          <w:sz w:val="20"/>
          <w:szCs w:val="22"/>
          <w:lang w:eastAsia="zh-CN"/>
          <w14:ligatures w14:val="none"/>
        </w:rPr>
        <w:t>Capacity development for gender equality and women’s empowerment</w:t>
      </w:r>
      <w:r w:rsidRPr="00B5277D">
        <w:rPr>
          <w:rFonts w:ascii="Times New Roman" w:eastAsia="SimSun" w:hAnsi="Times New Roman" w:cs="Times New Roman"/>
          <w:kern w:val="0"/>
          <w:sz w:val="20"/>
          <w:szCs w:val="22"/>
          <w:lang w:eastAsia="zh-CN"/>
          <w14:ligatures w14:val="none"/>
        </w:rPr>
        <w:t xml:space="preserve">. </w:t>
      </w:r>
      <w:hyperlink w:tgtFrame="_blank" w:history="1">
        <w:r w:rsidRPr="00B5277D">
          <w:rPr>
            <w:rStyle w:val="Hyperlink"/>
            <w:rFonts w:ascii="Times New Roman" w:eastAsia="SimSun" w:hAnsi="Times New Roman" w:cs="Times New Roman"/>
            <w:kern w:val="0"/>
            <w:sz w:val="20"/>
            <w:szCs w:val="22"/>
            <w:lang w:eastAsia="zh-CN"/>
            <w14:ligatures w14:val="none"/>
          </w:rPr>
          <w:t>https://www.undp.org</w:t>
        </w:r>
      </w:hyperlink>
    </w:p>
    <w:p w14:paraId="4CC0558C"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UN Women. (2015). </w:t>
      </w:r>
      <w:r w:rsidRPr="00B5277D">
        <w:rPr>
          <w:rFonts w:ascii="Times New Roman" w:eastAsia="SimSun" w:hAnsi="Times New Roman" w:cs="Times New Roman"/>
          <w:i/>
          <w:iCs/>
          <w:kern w:val="0"/>
          <w:sz w:val="20"/>
          <w:szCs w:val="22"/>
          <w:lang w:eastAsia="zh-CN"/>
          <w14:ligatures w14:val="none"/>
        </w:rPr>
        <w:t>The Beijing Declaration and Platform for Action turns 20</w:t>
      </w:r>
      <w:r w:rsidRPr="00B5277D">
        <w:rPr>
          <w:rFonts w:ascii="Times New Roman" w:eastAsia="SimSun" w:hAnsi="Times New Roman" w:cs="Times New Roman"/>
          <w:kern w:val="0"/>
          <w:sz w:val="20"/>
          <w:szCs w:val="22"/>
          <w:lang w:eastAsia="zh-CN"/>
          <w14:ligatures w14:val="none"/>
        </w:rPr>
        <w:t xml:space="preserve">. </w:t>
      </w:r>
      <w:hyperlink w:tgtFrame="_blank" w:history="1">
        <w:r w:rsidRPr="00B5277D">
          <w:rPr>
            <w:rStyle w:val="Hyperlink"/>
            <w:rFonts w:ascii="Times New Roman" w:eastAsia="SimSun" w:hAnsi="Times New Roman" w:cs="Times New Roman"/>
            <w:kern w:val="0"/>
            <w:sz w:val="20"/>
            <w:szCs w:val="22"/>
            <w:lang w:eastAsia="zh-CN"/>
            <w14:ligatures w14:val="none"/>
          </w:rPr>
          <w:t>https://www.unwomen.org/en/digital-library/publications/2015/02/beijing-platform-for-action-turns-20</w:t>
        </w:r>
      </w:hyperlink>
    </w:p>
    <w:p w14:paraId="099ECD14"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United Nations Women. (1995). </w:t>
      </w:r>
      <w:r w:rsidRPr="00B5277D">
        <w:rPr>
          <w:rFonts w:ascii="Times New Roman" w:eastAsia="SimSun" w:hAnsi="Times New Roman" w:cs="Times New Roman"/>
          <w:i/>
          <w:iCs/>
          <w:kern w:val="0"/>
          <w:sz w:val="20"/>
          <w:szCs w:val="22"/>
          <w:lang w:eastAsia="zh-CN"/>
          <w14:ligatures w14:val="none"/>
        </w:rPr>
        <w:t>Beijing Platform for Action: Fourth World Conference on Women</w:t>
      </w:r>
      <w:r w:rsidRPr="00B5277D">
        <w:rPr>
          <w:rFonts w:ascii="Times New Roman" w:eastAsia="SimSun" w:hAnsi="Times New Roman" w:cs="Times New Roman"/>
          <w:kern w:val="0"/>
          <w:sz w:val="20"/>
          <w:szCs w:val="22"/>
          <w:lang w:eastAsia="zh-CN"/>
          <w14:ligatures w14:val="none"/>
        </w:rPr>
        <w:t xml:space="preserve">. </w:t>
      </w:r>
      <w:hyperlink w:tgtFrame="_blank" w:history="1">
        <w:r w:rsidRPr="00B5277D">
          <w:rPr>
            <w:rStyle w:val="Hyperlink"/>
            <w:rFonts w:ascii="Times New Roman" w:eastAsia="SimSun" w:hAnsi="Times New Roman" w:cs="Times New Roman"/>
            <w:kern w:val="0"/>
            <w:sz w:val="20"/>
            <w:szCs w:val="22"/>
            <w:lang w:eastAsia="zh-CN"/>
            <w14:ligatures w14:val="none"/>
          </w:rPr>
          <w:t>https://www.unwomen.org/en</w:t>
        </w:r>
      </w:hyperlink>
    </w:p>
    <w:p w14:paraId="2C2E3D5A"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lastRenderedPageBreak/>
        <w:t xml:space="preserve">United Nations Women. (2015a). </w:t>
      </w:r>
      <w:r w:rsidRPr="00B5277D">
        <w:rPr>
          <w:rFonts w:ascii="Times New Roman" w:eastAsia="SimSun" w:hAnsi="Times New Roman" w:cs="Times New Roman"/>
          <w:i/>
          <w:iCs/>
          <w:kern w:val="0"/>
          <w:sz w:val="20"/>
          <w:szCs w:val="22"/>
          <w:lang w:eastAsia="zh-CN"/>
          <w14:ligatures w14:val="none"/>
        </w:rPr>
        <w:t>Beijing Platform for Action: Review and appraisal</w:t>
      </w:r>
      <w:r w:rsidRPr="00B5277D">
        <w:rPr>
          <w:rFonts w:ascii="Times New Roman" w:eastAsia="SimSun" w:hAnsi="Times New Roman" w:cs="Times New Roman"/>
          <w:kern w:val="0"/>
          <w:sz w:val="20"/>
          <w:szCs w:val="22"/>
          <w:lang w:eastAsia="zh-CN"/>
          <w14:ligatures w14:val="none"/>
        </w:rPr>
        <w:t>.</w:t>
      </w:r>
    </w:p>
    <w:p w14:paraId="04F46B4F"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United Nations Women. (2015b). </w:t>
      </w:r>
      <w:r w:rsidRPr="00B5277D">
        <w:rPr>
          <w:rFonts w:ascii="Times New Roman" w:eastAsia="SimSun" w:hAnsi="Times New Roman" w:cs="Times New Roman"/>
          <w:i/>
          <w:iCs/>
          <w:kern w:val="0"/>
          <w:sz w:val="20"/>
          <w:szCs w:val="22"/>
          <w:lang w:eastAsia="zh-CN"/>
          <w14:ligatures w14:val="none"/>
        </w:rPr>
        <w:t>CEDAW and the Beijing Platform for Action: Pathways to gender equality</w:t>
      </w:r>
      <w:r w:rsidRPr="00B5277D">
        <w:rPr>
          <w:rFonts w:ascii="Times New Roman" w:eastAsia="SimSun" w:hAnsi="Times New Roman" w:cs="Times New Roman"/>
          <w:kern w:val="0"/>
          <w:sz w:val="20"/>
          <w:szCs w:val="22"/>
          <w:lang w:eastAsia="zh-CN"/>
          <w14:ligatures w14:val="none"/>
        </w:rPr>
        <w:t xml:space="preserve">. </w:t>
      </w:r>
      <w:hyperlink w:tgtFrame="_blank" w:history="1">
        <w:r w:rsidRPr="00B5277D">
          <w:rPr>
            <w:rStyle w:val="Hyperlink"/>
            <w:rFonts w:ascii="Times New Roman" w:eastAsia="SimSun" w:hAnsi="Times New Roman" w:cs="Times New Roman"/>
            <w:kern w:val="0"/>
            <w:sz w:val="20"/>
            <w:szCs w:val="22"/>
            <w:lang w:eastAsia="zh-CN"/>
            <w14:ligatures w14:val="none"/>
          </w:rPr>
          <w:t>https://www.unwomen.org</w:t>
        </w:r>
      </w:hyperlink>
    </w:p>
    <w:p w14:paraId="2FC55F5C"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United Nations Women. (2015c). </w:t>
      </w:r>
      <w:r w:rsidRPr="00B5277D">
        <w:rPr>
          <w:rFonts w:ascii="Times New Roman" w:eastAsia="SimSun" w:hAnsi="Times New Roman" w:cs="Times New Roman"/>
          <w:i/>
          <w:iCs/>
          <w:kern w:val="0"/>
          <w:sz w:val="20"/>
          <w:szCs w:val="22"/>
          <w:lang w:eastAsia="zh-CN"/>
          <w14:ligatures w14:val="none"/>
        </w:rPr>
        <w:t>The Beijing Platform for Action turns 20: Accelerating gender equality in the 21st century</w:t>
      </w:r>
      <w:r w:rsidRPr="00B5277D">
        <w:rPr>
          <w:rFonts w:ascii="Times New Roman" w:eastAsia="SimSun" w:hAnsi="Times New Roman" w:cs="Times New Roman"/>
          <w:kern w:val="0"/>
          <w:sz w:val="20"/>
          <w:szCs w:val="22"/>
          <w:lang w:eastAsia="zh-CN"/>
          <w14:ligatures w14:val="none"/>
        </w:rPr>
        <w:t xml:space="preserve">. </w:t>
      </w:r>
      <w:hyperlink w:tgtFrame="_blank" w:history="1">
        <w:r w:rsidRPr="00B5277D">
          <w:rPr>
            <w:rStyle w:val="Hyperlink"/>
            <w:rFonts w:ascii="Times New Roman" w:eastAsia="SimSun" w:hAnsi="Times New Roman" w:cs="Times New Roman"/>
            <w:kern w:val="0"/>
            <w:sz w:val="20"/>
            <w:szCs w:val="22"/>
            <w:lang w:eastAsia="zh-CN"/>
            <w14:ligatures w14:val="none"/>
          </w:rPr>
          <w:t>https://www.unwomen.org/en</w:t>
        </w:r>
      </w:hyperlink>
    </w:p>
    <w:p w14:paraId="41E825F6"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United Nations Women. (2018). </w:t>
      </w:r>
      <w:r w:rsidRPr="00B5277D">
        <w:rPr>
          <w:rFonts w:ascii="Times New Roman" w:eastAsia="SimSun" w:hAnsi="Times New Roman" w:cs="Times New Roman"/>
          <w:i/>
          <w:iCs/>
          <w:kern w:val="0"/>
          <w:sz w:val="20"/>
          <w:szCs w:val="22"/>
          <w:lang w:eastAsia="zh-CN"/>
          <w14:ligatures w14:val="none"/>
        </w:rPr>
        <w:t>Gender mainstreaming: Concepts and definitions</w:t>
      </w:r>
      <w:r w:rsidRPr="00B5277D">
        <w:rPr>
          <w:rFonts w:ascii="Times New Roman" w:eastAsia="SimSun" w:hAnsi="Times New Roman" w:cs="Times New Roman"/>
          <w:kern w:val="0"/>
          <w:sz w:val="20"/>
          <w:szCs w:val="22"/>
          <w:lang w:eastAsia="zh-CN"/>
          <w14:ligatures w14:val="none"/>
        </w:rPr>
        <w:t xml:space="preserve">. </w:t>
      </w:r>
      <w:hyperlink w:tgtFrame="_blank" w:history="1">
        <w:r w:rsidRPr="00B5277D">
          <w:rPr>
            <w:rStyle w:val="Hyperlink"/>
            <w:rFonts w:ascii="Times New Roman" w:eastAsia="SimSun" w:hAnsi="Times New Roman" w:cs="Times New Roman"/>
            <w:kern w:val="0"/>
            <w:sz w:val="20"/>
            <w:szCs w:val="22"/>
            <w:lang w:eastAsia="zh-CN"/>
            <w14:ligatures w14:val="none"/>
          </w:rPr>
          <w:t>https://www.unwomen.org/en/how-we-work/un-system-coordination/gender-mainstreaming</w:t>
        </w:r>
      </w:hyperlink>
    </w:p>
    <w:p w14:paraId="02052A88" w14:textId="77777777" w:rsidR="00B5277D" w:rsidRPr="00B5277D" w:rsidRDefault="00B5277D" w:rsidP="00843E64">
      <w:pPr>
        <w:spacing w:after="0" w:line="240" w:lineRule="auto"/>
        <w:ind w:left="720" w:hanging="720"/>
        <w:rPr>
          <w:rFonts w:ascii="Times New Roman" w:eastAsia="SimSun" w:hAnsi="Times New Roman" w:cs="Times New Roman"/>
          <w:kern w:val="0"/>
          <w:sz w:val="20"/>
          <w:szCs w:val="22"/>
          <w:lang w:eastAsia="zh-CN"/>
          <w14:ligatures w14:val="none"/>
        </w:rPr>
      </w:pPr>
      <w:r w:rsidRPr="00B5277D">
        <w:rPr>
          <w:rFonts w:ascii="Times New Roman" w:eastAsia="SimSun" w:hAnsi="Times New Roman" w:cs="Times New Roman"/>
          <w:kern w:val="0"/>
          <w:sz w:val="20"/>
          <w:szCs w:val="22"/>
          <w:lang w:eastAsia="zh-CN"/>
          <w14:ligatures w14:val="none"/>
        </w:rPr>
        <w:t xml:space="preserve">World Bank. (2012). </w:t>
      </w:r>
      <w:r w:rsidRPr="00B5277D">
        <w:rPr>
          <w:rFonts w:ascii="Times New Roman" w:eastAsia="SimSun" w:hAnsi="Times New Roman" w:cs="Times New Roman"/>
          <w:i/>
          <w:iCs/>
          <w:kern w:val="0"/>
          <w:sz w:val="20"/>
          <w:szCs w:val="22"/>
          <w:lang w:eastAsia="zh-CN"/>
          <w14:ligatures w14:val="none"/>
        </w:rPr>
        <w:t>Gender equality and development</w:t>
      </w:r>
      <w:r w:rsidRPr="00B5277D">
        <w:rPr>
          <w:rFonts w:ascii="Times New Roman" w:eastAsia="SimSun" w:hAnsi="Times New Roman" w:cs="Times New Roman"/>
          <w:kern w:val="0"/>
          <w:sz w:val="20"/>
          <w:szCs w:val="22"/>
          <w:lang w:eastAsia="zh-CN"/>
          <w14:ligatures w14:val="none"/>
        </w:rPr>
        <w:t xml:space="preserve"> (World Development Report 2012). </w:t>
      </w:r>
      <w:hyperlink w:tgtFrame="_blank" w:history="1">
        <w:r w:rsidRPr="00B5277D">
          <w:rPr>
            <w:rStyle w:val="Hyperlink"/>
            <w:rFonts w:ascii="Times New Roman" w:eastAsia="SimSun" w:hAnsi="Times New Roman" w:cs="Times New Roman"/>
            <w:kern w:val="0"/>
            <w:sz w:val="20"/>
            <w:szCs w:val="22"/>
            <w:lang w:eastAsia="zh-CN"/>
            <w14:ligatures w14:val="none"/>
          </w:rPr>
          <w:t>https://openknowledge.worldbank.org</w:t>
        </w:r>
      </w:hyperlink>
    </w:p>
    <w:p w14:paraId="6D985D6B" w14:textId="77777777" w:rsidR="006070FD" w:rsidRPr="00B5277D" w:rsidRDefault="006070FD" w:rsidP="00843E64">
      <w:pPr>
        <w:spacing w:after="0" w:line="240" w:lineRule="auto"/>
        <w:rPr>
          <w:rFonts w:ascii="Times New Roman" w:eastAsia="SimSun" w:hAnsi="Times New Roman" w:cs="Times New Roman"/>
          <w:kern w:val="0"/>
          <w:sz w:val="20"/>
          <w:szCs w:val="22"/>
          <w:lang w:eastAsia="zh-CN"/>
          <w14:ligatures w14:val="none"/>
        </w:rPr>
      </w:pPr>
    </w:p>
    <w:p w14:paraId="0944BD79" w14:textId="77777777" w:rsidR="006070FD" w:rsidRPr="00B5277D" w:rsidRDefault="006070FD" w:rsidP="00B5277D">
      <w:pPr>
        <w:spacing w:after="0" w:line="240" w:lineRule="auto"/>
        <w:jc w:val="both"/>
        <w:rPr>
          <w:rFonts w:ascii="Times New Roman" w:eastAsia="SimSun" w:hAnsi="Times New Roman" w:cs="Times New Roman"/>
          <w:kern w:val="0"/>
          <w:sz w:val="20"/>
          <w:szCs w:val="22"/>
          <w:lang w:eastAsia="zh-CN"/>
          <w14:ligatures w14:val="none"/>
        </w:rPr>
      </w:pPr>
    </w:p>
    <w:p w14:paraId="2D257824" w14:textId="77777777" w:rsidR="006070FD" w:rsidRPr="00B5277D" w:rsidRDefault="006070FD" w:rsidP="00B5277D">
      <w:pPr>
        <w:spacing w:after="0" w:line="240" w:lineRule="auto"/>
        <w:jc w:val="both"/>
        <w:rPr>
          <w:rFonts w:ascii="Times New Roman" w:eastAsia="SimSun" w:hAnsi="Times New Roman" w:cs="Times New Roman"/>
          <w:kern w:val="0"/>
          <w:sz w:val="20"/>
          <w:szCs w:val="22"/>
          <w:lang w:eastAsia="zh-CN"/>
          <w14:ligatures w14:val="none"/>
        </w:rPr>
      </w:pPr>
    </w:p>
    <w:p w14:paraId="117EC4DD" w14:textId="77777777" w:rsidR="006070FD" w:rsidRPr="00B5277D" w:rsidRDefault="006070FD" w:rsidP="00B5277D">
      <w:pPr>
        <w:spacing w:after="0" w:line="240" w:lineRule="auto"/>
        <w:jc w:val="both"/>
        <w:rPr>
          <w:rFonts w:ascii="Times New Roman" w:eastAsia="SimSun" w:hAnsi="Times New Roman" w:cs="Times New Roman"/>
          <w:kern w:val="0"/>
          <w:sz w:val="20"/>
          <w:szCs w:val="22"/>
          <w:lang w:eastAsia="zh-CN"/>
          <w14:ligatures w14:val="none"/>
        </w:rPr>
      </w:pPr>
    </w:p>
    <w:p w14:paraId="0FE909D5" w14:textId="6412A8D4" w:rsidR="00846E4C" w:rsidRPr="00B5277D" w:rsidRDefault="00846E4C" w:rsidP="00B5277D">
      <w:pPr>
        <w:spacing w:after="0" w:line="240" w:lineRule="auto"/>
        <w:ind w:firstLine="720"/>
        <w:jc w:val="both"/>
        <w:rPr>
          <w:rFonts w:ascii="Times New Roman" w:hAnsi="Times New Roman" w:cs="Times New Roman"/>
          <w:sz w:val="18"/>
          <w:szCs w:val="20"/>
        </w:rPr>
      </w:pPr>
    </w:p>
    <w:sectPr w:rsidR="00846E4C" w:rsidRPr="00B5277D" w:rsidSect="008D65D9">
      <w:headerReference w:type="default" r:id="rId18"/>
      <w:footerReference w:type="default" r:id="rId19"/>
      <w:pgSz w:w="12240" w:h="15840"/>
      <w:pgMar w:top="720" w:right="1440" w:bottom="720" w:left="1440" w:header="720" w:footer="720" w:gutter="0"/>
      <w:pgNumType w:start="114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7C0FB" w14:textId="77777777" w:rsidR="00760789" w:rsidRDefault="00760789" w:rsidP="00111FD5">
      <w:pPr>
        <w:spacing w:after="0" w:line="240" w:lineRule="auto"/>
      </w:pPr>
      <w:r>
        <w:separator/>
      </w:r>
    </w:p>
  </w:endnote>
  <w:endnote w:type="continuationSeparator" w:id="0">
    <w:p w14:paraId="2AB23679" w14:textId="77777777" w:rsidR="00760789" w:rsidRDefault="00760789" w:rsidP="0011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45 Light">
    <w:altName w:val="Times New Roman"/>
    <w:panose1 w:val="00000000000000000000"/>
    <w:charset w:val="00"/>
    <w:family w:val="roman"/>
    <w:notTrueType/>
    <w:pitch w:val="default"/>
  </w:font>
  <w:font w:name="TimesNewRomanPSMT">
    <w:charset w:val="00"/>
    <w:family w:val="roman"/>
    <w:pitch w:val="variable"/>
    <w:sig w:usb0="E0002AFF" w:usb1="C0007841"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775141"/>
      <w:docPartObj>
        <w:docPartGallery w:val="Page Numbers (Bottom of Page)"/>
        <w:docPartUnique/>
      </w:docPartObj>
    </w:sdtPr>
    <w:sdtEndPr>
      <w:rPr>
        <w:rFonts w:ascii="Times New Roman" w:hAnsi="Times New Roman" w:cs="Times New Roman"/>
        <w:b/>
        <w:bCs/>
        <w:noProof/>
      </w:rPr>
    </w:sdtEndPr>
    <w:sdtContent>
      <w:p w14:paraId="1D10C5AB" w14:textId="1CEE1DA9" w:rsidR="006070FD" w:rsidRDefault="006070FD" w:rsidP="00111FD5">
        <w:pPr>
          <w:pStyle w:val="Footer"/>
        </w:pPr>
        <w:r>
          <w:rPr>
            <w:noProof/>
          </w:rPr>
          <mc:AlternateContent>
            <mc:Choice Requires="wps">
              <w:drawing>
                <wp:anchor distT="0" distB="0" distL="114300" distR="114300" simplePos="0" relativeHeight="251663360" behindDoc="0" locked="0" layoutInCell="1" allowOverlap="1" wp14:anchorId="75F4A3F3" wp14:editId="351EF385">
                  <wp:simplePos x="0" y="0"/>
                  <wp:positionH relativeFrom="column">
                    <wp:posOffset>-899160</wp:posOffset>
                  </wp:positionH>
                  <wp:positionV relativeFrom="paragraph">
                    <wp:posOffset>90170</wp:posOffset>
                  </wp:positionV>
                  <wp:extent cx="7734300" cy="0"/>
                  <wp:effectExtent l="0" t="0" r="0" b="0"/>
                  <wp:wrapNone/>
                  <wp:docPr id="522531858" name="Straight Connector 6"/>
                  <wp:cNvGraphicFramePr/>
                  <a:graphic xmlns:a="http://schemas.openxmlformats.org/drawingml/2006/main">
                    <a:graphicData uri="http://schemas.microsoft.com/office/word/2010/wordprocessingShape">
                      <wps:wsp>
                        <wps:cNvCnPr/>
                        <wps:spPr>
                          <a:xfrm>
                            <a:off x="0" y="0"/>
                            <a:ext cx="77343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78E9C6"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0.8pt,7.1pt" to="53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" strokecolor="black [3200]" strokeweight="1pt">
                  <v:stroke joinstyle="miter"/>
                </v:line>
              </w:pict>
            </mc:Fallback>
          </mc:AlternateContent>
        </w:r>
      </w:p>
      <w:p w14:paraId="06504203" w14:textId="653F6B8D" w:rsidR="006070FD" w:rsidRPr="008029E7" w:rsidRDefault="006070FD" w:rsidP="00111FD5">
        <w:pPr>
          <w:pStyle w:val="Footer"/>
          <w:jc w:val="right"/>
          <w:rPr>
            <w:rFonts w:ascii="Times New Roman" w:hAnsi="Times New Roman" w:cs="Times New Roman"/>
            <w:b/>
            <w:bCs/>
          </w:rPr>
        </w:pPr>
        <w:r w:rsidRPr="008029E7">
          <w:rPr>
            <w:rFonts w:ascii="Times New Roman" w:hAnsi="Times New Roman" w:cs="Times New Roman"/>
            <w:b/>
            <w:bCs/>
          </w:rPr>
          <w:fldChar w:fldCharType="begin"/>
        </w:r>
        <w:r w:rsidRPr="008029E7">
          <w:rPr>
            <w:rFonts w:ascii="Times New Roman" w:hAnsi="Times New Roman" w:cs="Times New Roman"/>
            <w:b/>
            <w:bCs/>
          </w:rPr>
          <w:instrText xml:space="preserve"> PAGE   \* MERGEFORMAT </w:instrText>
        </w:r>
        <w:r w:rsidRPr="008029E7">
          <w:rPr>
            <w:rFonts w:ascii="Times New Roman" w:hAnsi="Times New Roman" w:cs="Times New Roman"/>
            <w:b/>
            <w:bCs/>
          </w:rPr>
          <w:fldChar w:fldCharType="separate"/>
        </w:r>
        <w:r w:rsidR="008D65D9">
          <w:rPr>
            <w:rFonts w:ascii="Times New Roman" w:hAnsi="Times New Roman" w:cs="Times New Roman"/>
            <w:b/>
            <w:bCs/>
            <w:noProof/>
          </w:rPr>
          <w:t>1144</w:t>
        </w:r>
        <w:r w:rsidRPr="008029E7">
          <w:rPr>
            <w:rFonts w:ascii="Times New Roman" w:hAnsi="Times New Roman" w:cs="Times New Roman"/>
            <w:b/>
            <w:bCs/>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59EB7" w14:textId="77777777" w:rsidR="00760789" w:rsidRDefault="00760789" w:rsidP="00111FD5">
      <w:pPr>
        <w:spacing w:after="0" w:line="240" w:lineRule="auto"/>
      </w:pPr>
      <w:r>
        <w:separator/>
      </w:r>
    </w:p>
  </w:footnote>
  <w:footnote w:type="continuationSeparator" w:id="0">
    <w:p w14:paraId="3F7DB26B" w14:textId="77777777" w:rsidR="00760789" w:rsidRDefault="00760789" w:rsidP="00111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8FA69" w14:textId="6554FE94" w:rsidR="006070FD" w:rsidRPr="00BE364F" w:rsidRDefault="006070FD" w:rsidP="00BE364F">
    <w:pPr>
      <w:pStyle w:val="Header"/>
      <w:jc w:val="right"/>
      <w:rPr>
        <w:rFonts w:ascii="Times New Roman" w:hAnsi="Times New Roman" w:cs="Times New Roman"/>
        <w:b/>
        <w:bCs/>
        <w:color w:val="385623" w:themeColor="accent6" w:themeShade="80"/>
        <w:sz w:val="28"/>
        <w:szCs w:val="28"/>
      </w:rPr>
    </w:pPr>
    <w:r>
      <w:rPr>
        <w:rFonts w:ascii="Times New Roman" w:hAnsi="Times New Roman" w:cs="Times New Roman"/>
        <w:noProof/>
        <w:sz w:val="22"/>
        <w:szCs w:val="22"/>
      </w:rPr>
      <mc:AlternateContent>
        <mc:Choice Requires="wps">
          <w:drawing>
            <wp:anchor distT="0" distB="0" distL="114300" distR="114300" simplePos="0" relativeHeight="251667456" behindDoc="0" locked="0" layoutInCell="1" allowOverlap="1" wp14:anchorId="2CE279B1" wp14:editId="4D0A6984">
              <wp:simplePos x="0" y="0"/>
              <wp:positionH relativeFrom="column">
                <wp:posOffset>4207510</wp:posOffset>
              </wp:positionH>
              <wp:positionV relativeFrom="paragraph">
                <wp:posOffset>-195092</wp:posOffset>
              </wp:positionV>
              <wp:extent cx="1813560" cy="335280"/>
              <wp:effectExtent l="0" t="0" r="0" b="7620"/>
              <wp:wrapNone/>
              <wp:docPr id="1216297817" name="Text Box 4"/>
              <wp:cNvGraphicFramePr/>
              <a:graphic xmlns:a="http://schemas.openxmlformats.org/drawingml/2006/main">
                <a:graphicData uri="http://schemas.microsoft.com/office/word/2010/wordprocessingShape">
                  <wps:wsp>
                    <wps:cNvSpPr txBox="1"/>
                    <wps:spPr>
                      <a:xfrm>
                        <a:off x="0" y="0"/>
                        <a:ext cx="1813560" cy="335280"/>
                      </a:xfrm>
                      <a:prstGeom prst="rect">
                        <a:avLst/>
                      </a:prstGeom>
                      <a:noFill/>
                      <a:ln w="6350">
                        <a:noFill/>
                      </a:ln>
                    </wps:spPr>
                    <wps:txbx>
                      <w:txbxContent>
                        <w:p w14:paraId="69094C9A" w14:textId="13A4FD8A" w:rsidR="006070FD" w:rsidRPr="007E08BE" w:rsidRDefault="006070FD" w:rsidP="007E08BE">
                          <w:pPr>
                            <w:jc w:val="right"/>
                            <w:rPr>
                              <w:rFonts w:ascii="Book Antiqua" w:hAnsi="Book Antiqua"/>
                              <w:b/>
                              <w:bCs/>
                              <w:sz w:val="20"/>
                              <w:szCs w:val="20"/>
                            </w:rPr>
                          </w:pPr>
                          <w:r w:rsidRPr="007E08BE">
                            <w:rPr>
                              <w:rFonts w:ascii="Book Antiqua" w:hAnsi="Book Antiqua"/>
                              <w:b/>
                              <w:bCs/>
                              <w:sz w:val="20"/>
                              <w:szCs w:val="20"/>
                            </w:rPr>
                            <w:t>ISSN: 3116-3475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E279B1" id="_x0000_t202" coordsize="21600,21600" o:spt="202" path="m,l,21600r21600,l21600,xe">
              <v:stroke joinstyle="miter"/>
              <v:path gradientshapeok="t" o:connecttype="rect"/>
            </v:shapetype>
            <v:shape id="Text Box 4" o:spid="_x0000_s1027" type="#_x0000_t202" style="position:absolute;left:0;text-align:left;margin-left:331.3pt;margin-top:-15.35pt;width:142.8pt;height:26.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" filled="f" stroked="f" strokeweight=".5pt">
              <v:textbox>
                <w:txbxContent>
                  <w:p w14:paraId="69094C9A" w14:textId="13A4FD8A" w:rsidR="006070FD" w:rsidRPr="007E08BE" w:rsidRDefault="006070FD" w:rsidP="007E08BE">
                    <w:pPr>
                      <w:jc w:val="right"/>
                      <w:rPr>
                        <w:rFonts w:ascii="Book Antiqua" w:hAnsi="Book Antiqua"/>
                        <w:b/>
                        <w:bCs/>
                        <w:sz w:val="20"/>
                        <w:szCs w:val="20"/>
                      </w:rPr>
                    </w:pPr>
                    <w:r w:rsidRPr="007E08BE">
                      <w:rPr>
                        <w:rFonts w:ascii="Book Antiqua" w:hAnsi="Book Antiqua"/>
                        <w:b/>
                        <w:bCs/>
                        <w:sz w:val="20"/>
                        <w:szCs w:val="20"/>
                      </w:rPr>
                      <w:t>ISSN: 3116-3475</w:t>
                    </w:r>
                  </w:p>
                </w:txbxContent>
              </v:textbox>
            </v:shape>
          </w:pict>
        </mc:Fallback>
      </mc:AlternateContent>
    </w:r>
    <w:r w:rsidRPr="00BE364F">
      <w:rPr>
        <w:rFonts w:ascii="Times New Roman" w:hAnsi="Times New Roman" w:cs="Times New Roman"/>
        <w:b/>
        <w:bCs/>
        <w:noProof/>
        <w:color w:val="385623" w:themeColor="accent6" w:themeShade="80"/>
        <w:sz w:val="28"/>
        <w:szCs w:val="28"/>
      </w:rPr>
      <w:drawing>
        <wp:anchor distT="0" distB="0" distL="114300" distR="114300" simplePos="0" relativeHeight="251666432" behindDoc="1" locked="0" layoutInCell="1" allowOverlap="1" wp14:anchorId="0103B48B" wp14:editId="2881C50A">
          <wp:simplePos x="0" y="0"/>
          <wp:positionH relativeFrom="column">
            <wp:posOffset>-61537</wp:posOffset>
          </wp:positionH>
          <wp:positionV relativeFrom="paragraph">
            <wp:posOffset>-144145</wp:posOffset>
          </wp:positionV>
          <wp:extent cx="1429899" cy="63038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49396" name="Picture 1916949396"/>
                  <pic:cNvPicPr/>
                </pic:nvPicPr>
                <pic:blipFill rotWithShape="1">
                  <a:blip r:embed="rId1">
                    <a:extLst>
                      <a:ext uri="{28A0092B-C50C-407E-A947-70E740481C1C}">
                        <a14:useLocalDpi xmlns:a14="http://schemas.microsoft.com/office/drawing/2010/main" val="0"/>
                      </a:ext>
                    </a:extLst>
                  </a:blip>
                  <a:srcRect t="25458" b="30456"/>
                  <a:stretch>
                    <a:fillRect/>
                  </a:stretch>
                </pic:blipFill>
                <pic:spPr bwMode="auto">
                  <a:xfrm>
                    <a:off x="0" y="0"/>
                    <a:ext cx="1429899" cy="6303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64F">
      <w:rPr>
        <w:rFonts w:ascii="Times New Roman" w:hAnsi="Times New Roman" w:cs="Times New Roman"/>
        <w:b/>
        <w:bCs/>
        <w:color w:val="385623" w:themeColor="accent6" w:themeShade="80"/>
        <w:sz w:val="28"/>
        <w:szCs w:val="28"/>
      </w:rPr>
      <w:t>International Journal</w:t>
    </w:r>
  </w:p>
  <w:p w14:paraId="1C10B816" w14:textId="2CEF7235" w:rsidR="006070FD" w:rsidRPr="00BE364F" w:rsidRDefault="006070FD" w:rsidP="00BE364F">
    <w:pPr>
      <w:pStyle w:val="Header"/>
      <w:jc w:val="right"/>
      <w:rPr>
        <w:rFonts w:ascii="Times New Roman" w:hAnsi="Times New Roman" w:cs="Times New Roman"/>
        <w:b/>
        <w:bCs/>
        <w:color w:val="385623" w:themeColor="accent6" w:themeShade="80"/>
      </w:rPr>
    </w:pPr>
    <w:r>
      <w:rPr>
        <w:rFonts w:ascii="Times New Roman" w:hAnsi="Times New Roman" w:cs="Times New Roman"/>
        <w:b/>
        <w:bCs/>
        <w:color w:val="385623" w:themeColor="accent6" w:themeShade="80"/>
      </w:rPr>
      <w:t>of</w:t>
    </w:r>
    <w:r w:rsidRPr="00BE364F">
      <w:rPr>
        <w:rFonts w:ascii="Times New Roman" w:hAnsi="Times New Roman" w:cs="Times New Roman"/>
        <w:b/>
        <w:bCs/>
        <w:color w:val="385623" w:themeColor="accent6" w:themeShade="80"/>
      </w:rPr>
      <w:t xml:space="preserve"> Education, Research, </w:t>
    </w:r>
    <w:r>
      <w:rPr>
        <w:rFonts w:ascii="Times New Roman" w:hAnsi="Times New Roman" w:cs="Times New Roman"/>
        <w:b/>
        <w:bCs/>
        <w:color w:val="385623" w:themeColor="accent6" w:themeShade="80"/>
      </w:rPr>
      <w:t xml:space="preserve">and </w:t>
    </w:r>
    <w:r w:rsidRPr="00BE364F">
      <w:rPr>
        <w:rFonts w:ascii="Times New Roman" w:hAnsi="Times New Roman" w:cs="Times New Roman"/>
        <w:b/>
        <w:bCs/>
        <w:color w:val="385623" w:themeColor="accent6" w:themeShade="80"/>
      </w:rPr>
      <w:t>Innovation Perspectives</w:t>
    </w:r>
  </w:p>
  <w:p w14:paraId="7A253F74" w14:textId="77777777" w:rsidR="006070FD" w:rsidRPr="00B96D21" w:rsidRDefault="006070FD" w:rsidP="00B96D21">
    <w:pPr>
      <w:tabs>
        <w:tab w:val="center" w:pos="4680"/>
        <w:tab w:val="right" w:pos="9360"/>
      </w:tabs>
      <w:spacing w:after="0" w:line="240" w:lineRule="auto"/>
      <w:jc w:val="right"/>
      <w:rPr>
        <w:rFonts w:ascii="Times New Roman" w:hAnsi="Times New Roman" w:cs="Times New Roman"/>
        <w:sz w:val="22"/>
        <w:szCs w:val="22"/>
      </w:rPr>
    </w:pPr>
    <w:r w:rsidRPr="00B96D21">
      <w:rPr>
        <w:rFonts w:ascii="Times New Roman" w:hAnsi="Times New Roman" w:cs="Times New Roman"/>
        <w:sz w:val="22"/>
        <w:szCs w:val="22"/>
      </w:rPr>
      <w:t>Volume 2 Issue 5 (May 2026)</w:t>
    </w:r>
  </w:p>
  <w:p w14:paraId="0A881AE6" w14:textId="06B968AE" w:rsidR="006070FD" w:rsidRPr="008029E7" w:rsidRDefault="006070FD" w:rsidP="008029E7">
    <w:pPr>
      <w:pStyle w:val="Header"/>
      <w:jc w:val="center"/>
      <w:rPr>
        <w:rFonts w:ascii="Times New Roman" w:hAnsi="Times New Roman" w:cs="Times New Roman"/>
        <w:sz w:val="22"/>
        <w:szCs w:val="22"/>
      </w:rPr>
    </w:pPr>
    <w:r w:rsidRPr="008029E7">
      <w:rPr>
        <w:rFonts w:ascii="Times New Roman" w:hAnsi="Times New Roman" w:cs="Times New Roman"/>
        <w:noProof/>
        <w:sz w:val="22"/>
        <w:szCs w:val="22"/>
      </w:rPr>
      <mc:AlternateContent>
        <mc:Choice Requires="wps">
          <w:drawing>
            <wp:anchor distT="0" distB="0" distL="114300" distR="114300" simplePos="0" relativeHeight="251665408" behindDoc="0" locked="0" layoutInCell="1" allowOverlap="1" wp14:anchorId="3C628752" wp14:editId="4A2986D7">
              <wp:simplePos x="0" y="0"/>
              <wp:positionH relativeFrom="column">
                <wp:posOffset>-906780</wp:posOffset>
              </wp:positionH>
              <wp:positionV relativeFrom="paragraph">
                <wp:posOffset>234950</wp:posOffset>
              </wp:positionV>
              <wp:extent cx="7734300" cy="0"/>
              <wp:effectExtent l="0" t="0" r="0" b="0"/>
              <wp:wrapNone/>
              <wp:docPr id="1864399440" name="Straight Connector 6"/>
              <wp:cNvGraphicFramePr/>
              <a:graphic xmlns:a="http://schemas.openxmlformats.org/drawingml/2006/main">
                <a:graphicData uri="http://schemas.microsoft.com/office/word/2010/wordprocessingShape">
                  <wps:wsp>
                    <wps:cNvCnPr/>
                    <wps:spPr>
                      <a:xfrm>
                        <a:off x="0" y="0"/>
                        <a:ext cx="77343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13860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1.4pt,18.5pt" to="537.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" strokecolor="black [3200]" strokeweight="1.5pt">
              <v:stroke joinstyle="miter"/>
            </v:line>
          </w:pict>
        </mc:Fallback>
      </mc:AlternateContent>
    </w:r>
  </w:p>
  <w:p w14:paraId="6D062F73" w14:textId="01737EF1" w:rsidR="006070FD" w:rsidRDefault="006070FD" w:rsidP="0013296F">
    <w:pPr>
      <w:pStyle w:val="Header"/>
      <w:jc w:val="center"/>
      <w:rPr>
        <w:rFonts w:ascii="Times New Roman" w:hAnsi="Times New Roman" w:cs="Times New Roman"/>
      </w:rPr>
    </w:pPr>
  </w:p>
  <w:p w14:paraId="13175DB7" w14:textId="77777777" w:rsidR="006070FD" w:rsidRPr="00BE364F" w:rsidRDefault="006070FD" w:rsidP="0013296F">
    <w:pPr>
      <w:pStyle w:val="Header"/>
      <w:jc w:val="center"/>
      <w:rPr>
        <w:rFonts w:ascii="Times New Roman" w:hAnsi="Times New Roman" w:cs="Times New Roman"/>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87A804"/>
    <w:multiLevelType w:val="singleLevel"/>
    <w:tmpl w:val="B287A804"/>
    <w:lvl w:ilvl="0">
      <w:start w:val="1"/>
      <w:numFmt w:val="decimal"/>
      <w:lvlText w:val="%1."/>
      <w:lvlJc w:val="left"/>
      <w:pPr>
        <w:tabs>
          <w:tab w:val="left" w:pos="425"/>
        </w:tabs>
        <w:ind w:left="425" w:hanging="425"/>
      </w:pPr>
      <w:rPr>
        <w:rFonts w:hint="default"/>
      </w:rPr>
    </w:lvl>
  </w:abstractNum>
  <w:abstractNum w:abstractNumId="1" w15:restartNumberingAfterBreak="0">
    <w:nsid w:val="CE08295C"/>
    <w:multiLevelType w:val="singleLevel"/>
    <w:tmpl w:val="CE08295C"/>
    <w:lvl w:ilvl="0">
      <w:start w:val="1"/>
      <w:numFmt w:val="bullet"/>
      <w:lvlText w:val=""/>
      <w:lvlJc w:val="left"/>
      <w:pPr>
        <w:tabs>
          <w:tab w:val="num" w:pos="420"/>
        </w:tabs>
        <w:ind w:left="420" w:hanging="420"/>
      </w:pPr>
      <w:rPr>
        <w:rFonts w:ascii="Wingdings" w:hAnsi="Wingdings" w:hint="default"/>
        <w:sz w:val="10"/>
        <w:szCs w:val="10"/>
      </w:rPr>
    </w:lvl>
  </w:abstractNum>
  <w:abstractNum w:abstractNumId="2" w15:restartNumberingAfterBreak="0">
    <w:nsid w:val="E3924BE7"/>
    <w:multiLevelType w:val="singleLevel"/>
    <w:tmpl w:val="E3924BE7"/>
    <w:lvl w:ilvl="0">
      <w:start w:val="1"/>
      <w:numFmt w:val="bullet"/>
      <w:lvlText w:val=""/>
      <w:lvlJc w:val="left"/>
      <w:pPr>
        <w:tabs>
          <w:tab w:val="num" w:pos="420"/>
        </w:tabs>
        <w:ind w:left="420" w:hanging="420"/>
      </w:pPr>
      <w:rPr>
        <w:rFonts w:ascii="Wingdings" w:hAnsi="Wingdings" w:hint="default"/>
        <w:sz w:val="16"/>
        <w:szCs w:val="16"/>
        <w:vertAlign w:val="superscript"/>
      </w:rPr>
    </w:lvl>
  </w:abstractNum>
  <w:abstractNum w:abstractNumId="3" w15:restartNumberingAfterBreak="0">
    <w:nsid w:val="ED26A5BC"/>
    <w:multiLevelType w:val="singleLevel"/>
    <w:tmpl w:val="ED26A5BC"/>
    <w:lvl w:ilvl="0">
      <w:start w:val="1"/>
      <w:numFmt w:val="decimal"/>
      <w:lvlText w:val="%1."/>
      <w:lvlJc w:val="left"/>
      <w:pPr>
        <w:tabs>
          <w:tab w:val="left" w:pos="425"/>
        </w:tabs>
        <w:ind w:left="425" w:hanging="425"/>
      </w:pPr>
      <w:rPr>
        <w:rFonts w:hint="default"/>
      </w:rPr>
    </w:lvl>
  </w:abstractNum>
  <w:abstractNum w:abstractNumId="4" w15:restartNumberingAfterBreak="0">
    <w:nsid w:val="FFFFFF89"/>
    <w:multiLevelType w:val="singleLevel"/>
    <w:tmpl w:val="230CF65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2C3B5C"/>
    <w:multiLevelType w:val="singleLevel"/>
    <w:tmpl w:val="042C3B5C"/>
    <w:lvl w:ilvl="0">
      <w:start w:val="1"/>
      <w:numFmt w:val="bullet"/>
      <w:lvlText w:val=""/>
      <w:lvlJc w:val="left"/>
      <w:pPr>
        <w:tabs>
          <w:tab w:val="num" w:pos="420"/>
        </w:tabs>
        <w:ind w:left="420" w:hanging="420"/>
      </w:pPr>
      <w:rPr>
        <w:rFonts w:ascii="Wingdings" w:hAnsi="Wingdings" w:hint="default"/>
        <w:sz w:val="10"/>
        <w:szCs w:val="10"/>
      </w:rPr>
    </w:lvl>
  </w:abstractNum>
  <w:abstractNum w:abstractNumId="6" w15:restartNumberingAfterBreak="0">
    <w:nsid w:val="121C631A"/>
    <w:multiLevelType w:val="multilevel"/>
    <w:tmpl w:val="434407DC"/>
    <w:lvl w:ilvl="0">
      <w:start w:val="1"/>
      <w:numFmt w:val="decimal"/>
      <w:lvlText w:val="%1."/>
      <w:lvlJc w:val="left"/>
      <w:pPr>
        <w:ind w:left="1212"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752443"/>
    <w:multiLevelType w:val="multilevel"/>
    <w:tmpl w:val="8DDEE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6C1935"/>
    <w:multiLevelType w:val="multilevel"/>
    <w:tmpl w:val="0F022C8E"/>
    <w:lvl w:ilvl="0">
      <w:start w:val="1"/>
      <w:numFmt w:val="decimal"/>
      <w:lvlText w:val="%1."/>
      <w:lvlJc w:val="left"/>
      <w:pPr>
        <w:ind w:left="360" w:hanging="360"/>
      </w:pPr>
      <w:rPr>
        <w:rFonts w:ascii="Calibri" w:eastAsia="Calibri" w:hAnsi="Calibri" w:hint="default"/>
        <w:b/>
        <w:i/>
        <w:color w:val="auto"/>
        <w:sz w:val="22"/>
      </w:rPr>
    </w:lvl>
    <w:lvl w:ilvl="1">
      <w:start w:val="1"/>
      <w:numFmt w:val="decimal"/>
      <w:lvlText w:val="%1.%2."/>
      <w:lvlJc w:val="left"/>
      <w:pPr>
        <w:ind w:left="1429" w:hanging="720"/>
      </w:pPr>
      <w:rPr>
        <w:rFonts w:ascii="Garamond" w:eastAsia="Calibri" w:hAnsi="Garamond" w:hint="default"/>
        <w:b w:val="0"/>
        <w:bCs w:val="0"/>
        <w:i/>
        <w:color w:val="auto"/>
        <w:sz w:val="26"/>
        <w:szCs w:val="26"/>
      </w:rPr>
    </w:lvl>
    <w:lvl w:ilvl="2">
      <w:start w:val="1"/>
      <w:numFmt w:val="decimal"/>
      <w:lvlText w:val="%1.%2.%3."/>
      <w:lvlJc w:val="left"/>
      <w:pPr>
        <w:ind w:left="2138" w:hanging="720"/>
      </w:pPr>
      <w:rPr>
        <w:rFonts w:ascii="Calibri" w:eastAsia="Calibri" w:hAnsi="Calibri" w:hint="default"/>
        <w:b/>
        <w:i/>
        <w:color w:val="auto"/>
        <w:sz w:val="22"/>
      </w:rPr>
    </w:lvl>
    <w:lvl w:ilvl="3">
      <w:start w:val="1"/>
      <w:numFmt w:val="decimal"/>
      <w:lvlText w:val="%1.%2.%3.%4."/>
      <w:lvlJc w:val="left"/>
      <w:pPr>
        <w:ind w:left="3207" w:hanging="1080"/>
      </w:pPr>
      <w:rPr>
        <w:rFonts w:ascii="Calibri" w:eastAsia="Calibri" w:hAnsi="Calibri" w:hint="default"/>
        <w:b/>
        <w:i/>
        <w:color w:val="auto"/>
        <w:sz w:val="22"/>
      </w:rPr>
    </w:lvl>
    <w:lvl w:ilvl="4">
      <w:start w:val="1"/>
      <w:numFmt w:val="decimal"/>
      <w:lvlText w:val="%1.%2.%3.%4.%5."/>
      <w:lvlJc w:val="left"/>
      <w:pPr>
        <w:ind w:left="4276" w:hanging="1440"/>
      </w:pPr>
      <w:rPr>
        <w:rFonts w:ascii="Calibri" w:eastAsia="Calibri" w:hAnsi="Calibri" w:hint="default"/>
        <w:b/>
        <w:i/>
        <w:color w:val="auto"/>
        <w:sz w:val="22"/>
      </w:rPr>
    </w:lvl>
    <w:lvl w:ilvl="5">
      <w:start w:val="1"/>
      <w:numFmt w:val="decimal"/>
      <w:lvlText w:val="%1.%2.%3.%4.%5.%6."/>
      <w:lvlJc w:val="left"/>
      <w:pPr>
        <w:ind w:left="4985" w:hanging="1440"/>
      </w:pPr>
      <w:rPr>
        <w:rFonts w:ascii="Calibri" w:eastAsia="Calibri" w:hAnsi="Calibri" w:hint="default"/>
        <w:b/>
        <w:i/>
        <w:color w:val="auto"/>
        <w:sz w:val="22"/>
      </w:rPr>
    </w:lvl>
    <w:lvl w:ilvl="6">
      <w:start w:val="1"/>
      <w:numFmt w:val="decimal"/>
      <w:lvlText w:val="%1.%2.%3.%4.%5.%6.%7."/>
      <w:lvlJc w:val="left"/>
      <w:pPr>
        <w:ind w:left="6054" w:hanging="1800"/>
      </w:pPr>
      <w:rPr>
        <w:rFonts w:ascii="Calibri" w:eastAsia="Calibri" w:hAnsi="Calibri" w:hint="default"/>
        <w:b/>
        <w:i/>
        <w:color w:val="auto"/>
        <w:sz w:val="22"/>
      </w:rPr>
    </w:lvl>
    <w:lvl w:ilvl="7">
      <w:start w:val="1"/>
      <w:numFmt w:val="decimal"/>
      <w:lvlText w:val="%1.%2.%3.%4.%5.%6.%7.%8."/>
      <w:lvlJc w:val="left"/>
      <w:pPr>
        <w:ind w:left="7123" w:hanging="2160"/>
      </w:pPr>
      <w:rPr>
        <w:rFonts w:ascii="Calibri" w:eastAsia="Calibri" w:hAnsi="Calibri" w:hint="default"/>
        <w:b/>
        <w:i/>
        <w:color w:val="auto"/>
        <w:sz w:val="22"/>
      </w:rPr>
    </w:lvl>
    <w:lvl w:ilvl="8">
      <w:start w:val="1"/>
      <w:numFmt w:val="decimal"/>
      <w:lvlText w:val="%1.%2.%3.%4.%5.%6.%7.%8.%9."/>
      <w:lvlJc w:val="left"/>
      <w:pPr>
        <w:ind w:left="7832" w:hanging="2160"/>
      </w:pPr>
      <w:rPr>
        <w:rFonts w:ascii="Calibri" w:eastAsia="Calibri" w:hAnsi="Calibri" w:hint="default"/>
        <w:b/>
        <w:i/>
        <w:color w:val="auto"/>
        <w:sz w:val="22"/>
      </w:rPr>
    </w:lvl>
  </w:abstractNum>
  <w:abstractNum w:abstractNumId="9" w15:restartNumberingAfterBreak="0">
    <w:nsid w:val="1F855E30"/>
    <w:multiLevelType w:val="multilevel"/>
    <w:tmpl w:val="6122C17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20004B0A"/>
    <w:multiLevelType w:val="multilevel"/>
    <w:tmpl w:val="20004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7E6191"/>
    <w:multiLevelType w:val="multilevel"/>
    <w:tmpl w:val="267E61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231DEC"/>
    <w:multiLevelType w:val="hybridMultilevel"/>
    <w:tmpl w:val="38127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17368"/>
    <w:multiLevelType w:val="hybridMultilevel"/>
    <w:tmpl w:val="6C9C1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85B8F"/>
    <w:multiLevelType w:val="multilevel"/>
    <w:tmpl w:val="43085B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2F122E"/>
    <w:multiLevelType w:val="hybridMultilevel"/>
    <w:tmpl w:val="789695C6"/>
    <w:lvl w:ilvl="0" w:tplc="3409000F">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16" w15:restartNumberingAfterBreak="0">
    <w:nsid w:val="44523E60"/>
    <w:multiLevelType w:val="multilevel"/>
    <w:tmpl w:val="44523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1A3BEF"/>
    <w:multiLevelType w:val="singleLevel"/>
    <w:tmpl w:val="DDFCAE6E"/>
    <w:lvl w:ilvl="0">
      <w:start w:val="1"/>
      <w:numFmt w:val="decimal"/>
      <w:lvlText w:val="%1."/>
      <w:lvlJc w:val="left"/>
      <w:pPr>
        <w:tabs>
          <w:tab w:val="left" w:pos="425"/>
        </w:tabs>
        <w:ind w:left="425" w:hanging="425"/>
      </w:pPr>
      <w:rPr>
        <w:rFonts w:ascii="Times New Roman" w:eastAsia="Calibri" w:hAnsi="Times New Roman" w:cs="Times New Roman"/>
      </w:rPr>
    </w:lvl>
  </w:abstractNum>
  <w:abstractNum w:abstractNumId="18" w15:restartNumberingAfterBreak="0">
    <w:nsid w:val="54DC3CAF"/>
    <w:multiLevelType w:val="singleLevel"/>
    <w:tmpl w:val="54DC3CAF"/>
    <w:lvl w:ilvl="0">
      <w:start w:val="1"/>
      <w:numFmt w:val="decimal"/>
      <w:lvlText w:val="%1."/>
      <w:lvlJc w:val="left"/>
      <w:pPr>
        <w:tabs>
          <w:tab w:val="left" w:pos="425"/>
        </w:tabs>
        <w:ind w:left="425" w:hanging="425"/>
      </w:pPr>
      <w:rPr>
        <w:rFonts w:hint="default"/>
      </w:rPr>
    </w:lvl>
  </w:abstractNum>
  <w:abstractNum w:abstractNumId="19" w15:restartNumberingAfterBreak="0">
    <w:nsid w:val="62617528"/>
    <w:multiLevelType w:val="multilevel"/>
    <w:tmpl w:val="62617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8005BA"/>
    <w:multiLevelType w:val="multilevel"/>
    <w:tmpl w:val="C0B0B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3B43AB"/>
    <w:multiLevelType w:val="hybridMultilevel"/>
    <w:tmpl w:val="668EE2E4"/>
    <w:lvl w:ilvl="0" w:tplc="08C235E8">
      <w:start w:val="1"/>
      <w:numFmt w:val="lowerLetter"/>
      <w:lvlText w:val="%1."/>
      <w:lvlJc w:val="left"/>
      <w:pPr>
        <w:ind w:left="1080" w:hanging="360"/>
      </w:pPr>
      <w:rPr>
        <w:rFonts w:hint="default"/>
      </w:rPr>
    </w:lvl>
    <w:lvl w:ilvl="1" w:tplc="EFBA7C6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3C41B5"/>
    <w:multiLevelType w:val="multilevel"/>
    <w:tmpl w:val="6A3C41B5"/>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BAA31EB"/>
    <w:multiLevelType w:val="multilevel"/>
    <w:tmpl w:val="6BAA31E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27473F"/>
    <w:multiLevelType w:val="multilevel"/>
    <w:tmpl w:val="149AB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6E1D4B"/>
    <w:multiLevelType w:val="hybridMultilevel"/>
    <w:tmpl w:val="04BAB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D75133"/>
    <w:multiLevelType w:val="multilevel"/>
    <w:tmpl w:val="D39E1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21"/>
  </w:num>
  <w:num w:numId="4">
    <w:abstractNumId w:val="26"/>
  </w:num>
  <w:num w:numId="5">
    <w:abstractNumId w:val="7"/>
  </w:num>
  <w:num w:numId="6">
    <w:abstractNumId w:val="8"/>
  </w:num>
  <w:num w:numId="7">
    <w:abstractNumId w:val="17"/>
  </w:num>
  <w:num w:numId="8">
    <w:abstractNumId w:val="16"/>
  </w:num>
  <w:num w:numId="9">
    <w:abstractNumId w:val="14"/>
  </w:num>
  <w:num w:numId="10">
    <w:abstractNumId w:val="19"/>
  </w:num>
  <w:num w:numId="11">
    <w:abstractNumId w:val="11"/>
  </w:num>
  <w:num w:numId="12">
    <w:abstractNumId w:val="10"/>
  </w:num>
  <w:num w:numId="13">
    <w:abstractNumId w:val="3"/>
  </w:num>
  <w:num w:numId="14">
    <w:abstractNumId w:val="0"/>
  </w:num>
  <w:num w:numId="15">
    <w:abstractNumId w:val="1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2"/>
  </w:num>
  <w:num w:numId="23">
    <w:abstractNumId w:val="5"/>
  </w:num>
  <w:num w:numId="24">
    <w:abstractNumId w:val="2"/>
  </w:num>
  <w:num w:numId="25">
    <w:abstractNumId w:val="1"/>
  </w:num>
  <w:num w:numId="26">
    <w:abstractNumId w:val="25"/>
  </w:num>
  <w:num w:numId="2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D5"/>
    <w:rsid w:val="00003C96"/>
    <w:rsid w:val="0000543F"/>
    <w:rsid w:val="00011F10"/>
    <w:rsid w:val="00012690"/>
    <w:rsid w:val="000137DD"/>
    <w:rsid w:val="00014D14"/>
    <w:rsid w:val="00016945"/>
    <w:rsid w:val="00016BFC"/>
    <w:rsid w:val="00016FA5"/>
    <w:rsid w:val="00020615"/>
    <w:rsid w:val="00025236"/>
    <w:rsid w:val="00026B7F"/>
    <w:rsid w:val="00036158"/>
    <w:rsid w:val="000361A2"/>
    <w:rsid w:val="00051C2D"/>
    <w:rsid w:val="000524EF"/>
    <w:rsid w:val="00054B22"/>
    <w:rsid w:val="00055A9F"/>
    <w:rsid w:val="00062376"/>
    <w:rsid w:val="000630FD"/>
    <w:rsid w:val="000635F4"/>
    <w:rsid w:val="000710DF"/>
    <w:rsid w:val="0007353B"/>
    <w:rsid w:val="00076740"/>
    <w:rsid w:val="00084A7B"/>
    <w:rsid w:val="00085E27"/>
    <w:rsid w:val="00090AE9"/>
    <w:rsid w:val="000A53C6"/>
    <w:rsid w:val="000A5FF0"/>
    <w:rsid w:val="000A7F28"/>
    <w:rsid w:val="000B20CA"/>
    <w:rsid w:val="000B302D"/>
    <w:rsid w:val="000B7377"/>
    <w:rsid w:val="000B7F22"/>
    <w:rsid w:val="000C062C"/>
    <w:rsid w:val="000C1592"/>
    <w:rsid w:val="000E3F65"/>
    <w:rsid w:val="000E5A13"/>
    <w:rsid w:val="000F7D83"/>
    <w:rsid w:val="00106CB7"/>
    <w:rsid w:val="00111B6A"/>
    <w:rsid w:val="00111FBC"/>
    <w:rsid w:val="00111FD5"/>
    <w:rsid w:val="00113121"/>
    <w:rsid w:val="00114A56"/>
    <w:rsid w:val="00115CB4"/>
    <w:rsid w:val="00122D50"/>
    <w:rsid w:val="00123AB8"/>
    <w:rsid w:val="00123AC1"/>
    <w:rsid w:val="0013296F"/>
    <w:rsid w:val="00133793"/>
    <w:rsid w:val="00137EA5"/>
    <w:rsid w:val="001425A4"/>
    <w:rsid w:val="001513B5"/>
    <w:rsid w:val="00153171"/>
    <w:rsid w:val="0015665B"/>
    <w:rsid w:val="00156ACD"/>
    <w:rsid w:val="00160E1B"/>
    <w:rsid w:val="00166225"/>
    <w:rsid w:val="00167BB1"/>
    <w:rsid w:val="00171BCA"/>
    <w:rsid w:val="00176E4F"/>
    <w:rsid w:val="0019118B"/>
    <w:rsid w:val="00195003"/>
    <w:rsid w:val="0019751F"/>
    <w:rsid w:val="001A1AC1"/>
    <w:rsid w:val="001A3A39"/>
    <w:rsid w:val="001A4611"/>
    <w:rsid w:val="001B15A9"/>
    <w:rsid w:val="001B2DA9"/>
    <w:rsid w:val="001B724A"/>
    <w:rsid w:val="001B7A70"/>
    <w:rsid w:val="001C4D24"/>
    <w:rsid w:val="001D4479"/>
    <w:rsid w:val="001D4A6F"/>
    <w:rsid w:val="001E4C8A"/>
    <w:rsid w:val="001E75B9"/>
    <w:rsid w:val="001F25D5"/>
    <w:rsid w:val="001F51A7"/>
    <w:rsid w:val="00201259"/>
    <w:rsid w:val="00204E2B"/>
    <w:rsid w:val="00211BCE"/>
    <w:rsid w:val="002142AE"/>
    <w:rsid w:val="00215B1B"/>
    <w:rsid w:val="002160FD"/>
    <w:rsid w:val="00221BFF"/>
    <w:rsid w:val="00240EF4"/>
    <w:rsid w:val="00246BEC"/>
    <w:rsid w:val="002473D1"/>
    <w:rsid w:val="0025083F"/>
    <w:rsid w:val="0025263E"/>
    <w:rsid w:val="002545B5"/>
    <w:rsid w:val="002576B5"/>
    <w:rsid w:val="00260AE1"/>
    <w:rsid w:val="00261168"/>
    <w:rsid w:val="00261570"/>
    <w:rsid w:val="002625F7"/>
    <w:rsid w:val="00277755"/>
    <w:rsid w:val="002811C5"/>
    <w:rsid w:val="00282C65"/>
    <w:rsid w:val="00284608"/>
    <w:rsid w:val="0028603B"/>
    <w:rsid w:val="00287E44"/>
    <w:rsid w:val="002902E5"/>
    <w:rsid w:val="00295F39"/>
    <w:rsid w:val="002A00F3"/>
    <w:rsid w:val="002A050C"/>
    <w:rsid w:val="002A6CD2"/>
    <w:rsid w:val="002A7229"/>
    <w:rsid w:val="002A7875"/>
    <w:rsid w:val="002A78F2"/>
    <w:rsid w:val="002B2F58"/>
    <w:rsid w:val="002B4837"/>
    <w:rsid w:val="002B5424"/>
    <w:rsid w:val="002C6C71"/>
    <w:rsid w:val="002E3403"/>
    <w:rsid w:val="002F5570"/>
    <w:rsid w:val="00304F58"/>
    <w:rsid w:val="0032181C"/>
    <w:rsid w:val="003243EC"/>
    <w:rsid w:val="00324A95"/>
    <w:rsid w:val="00325B20"/>
    <w:rsid w:val="00330F7A"/>
    <w:rsid w:val="00332849"/>
    <w:rsid w:val="0033450C"/>
    <w:rsid w:val="003354C3"/>
    <w:rsid w:val="00345589"/>
    <w:rsid w:val="00347200"/>
    <w:rsid w:val="00357254"/>
    <w:rsid w:val="003605C5"/>
    <w:rsid w:val="00362040"/>
    <w:rsid w:val="003661E2"/>
    <w:rsid w:val="00371EE1"/>
    <w:rsid w:val="003735D6"/>
    <w:rsid w:val="003801C6"/>
    <w:rsid w:val="00381E3E"/>
    <w:rsid w:val="003846E2"/>
    <w:rsid w:val="00384A02"/>
    <w:rsid w:val="00386A48"/>
    <w:rsid w:val="0038713E"/>
    <w:rsid w:val="00390790"/>
    <w:rsid w:val="003921FC"/>
    <w:rsid w:val="00395085"/>
    <w:rsid w:val="003A29E3"/>
    <w:rsid w:val="003B1A66"/>
    <w:rsid w:val="003B6095"/>
    <w:rsid w:val="003B762D"/>
    <w:rsid w:val="003B7EB1"/>
    <w:rsid w:val="003C1819"/>
    <w:rsid w:val="003C239A"/>
    <w:rsid w:val="003C2B38"/>
    <w:rsid w:val="003C3727"/>
    <w:rsid w:val="003C4494"/>
    <w:rsid w:val="003C7043"/>
    <w:rsid w:val="003D2D7F"/>
    <w:rsid w:val="003D7EA3"/>
    <w:rsid w:val="003E1F56"/>
    <w:rsid w:val="003E6505"/>
    <w:rsid w:val="00402835"/>
    <w:rsid w:val="004126EE"/>
    <w:rsid w:val="004236D2"/>
    <w:rsid w:val="00424860"/>
    <w:rsid w:val="00426BF0"/>
    <w:rsid w:val="00426DF1"/>
    <w:rsid w:val="00431DA0"/>
    <w:rsid w:val="00434DEC"/>
    <w:rsid w:val="004406B7"/>
    <w:rsid w:val="00446A25"/>
    <w:rsid w:val="00447695"/>
    <w:rsid w:val="00447BF0"/>
    <w:rsid w:val="0045407D"/>
    <w:rsid w:val="00457670"/>
    <w:rsid w:val="00465FB7"/>
    <w:rsid w:val="00466FD8"/>
    <w:rsid w:val="004679CF"/>
    <w:rsid w:val="004713E9"/>
    <w:rsid w:val="0047449D"/>
    <w:rsid w:val="00474F83"/>
    <w:rsid w:val="00486DCB"/>
    <w:rsid w:val="0048795C"/>
    <w:rsid w:val="00494829"/>
    <w:rsid w:val="004A5E0E"/>
    <w:rsid w:val="004A7BFF"/>
    <w:rsid w:val="004B0232"/>
    <w:rsid w:val="004B75AF"/>
    <w:rsid w:val="004C0557"/>
    <w:rsid w:val="004C5F3B"/>
    <w:rsid w:val="004D5198"/>
    <w:rsid w:val="004D78CB"/>
    <w:rsid w:val="004E02F3"/>
    <w:rsid w:val="004E0B2E"/>
    <w:rsid w:val="004E43F0"/>
    <w:rsid w:val="004F01D0"/>
    <w:rsid w:val="004F064C"/>
    <w:rsid w:val="004F298A"/>
    <w:rsid w:val="004F4269"/>
    <w:rsid w:val="004F53C8"/>
    <w:rsid w:val="004F596B"/>
    <w:rsid w:val="00503FCE"/>
    <w:rsid w:val="00505A87"/>
    <w:rsid w:val="005078AE"/>
    <w:rsid w:val="00510D8C"/>
    <w:rsid w:val="005127D6"/>
    <w:rsid w:val="005237DA"/>
    <w:rsid w:val="00530D2E"/>
    <w:rsid w:val="00533251"/>
    <w:rsid w:val="00533A3A"/>
    <w:rsid w:val="00535029"/>
    <w:rsid w:val="00535132"/>
    <w:rsid w:val="0053729C"/>
    <w:rsid w:val="00540F85"/>
    <w:rsid w:val="00542C32"/>
    <w:rsid w:val="005471FB"/>
    <w:rsid w:val="00564C45"/>
    <w:rsid w:val="005669A6"/>
    <w:rsid w:val="00572A99"/>
    <w:rsid w:val="005738F6"/>
    <w:rsid w:val="00575F5C"/>
    <w:rsid w:val="005805ED"/>
    <w:rsid w:val="00580CD6"/>
    <w:rsid w:val="00582405"/>
    <w:rsid w:val="0059043D"/>
    <w:rsid w:val="00591D01"/>
    <w:rsid w:val="005921D4"/>
    <w:rsid w:val="00592EE0"/>
    <w:rsid w:val="00597614"/>
    <w:rsid w:val="005A1716"/>
    <w:rsid w:val="005A3A4C"/>
    <w:rsid w:val="005A4E2D"/>
    <w:rsid w:val="005B0469"/>
    <w:rsid w:val="005C097E"/>
    <w:rsid w:val="005C50E9"/>
    <w:rsid w:val="005D0F46"/>
    <w:rsid w:val="005D51CE"/>
    <w:rsid w:val="005E4576"/>
    <w:rsid w:val="005E7143"/>
    <w:rsid w:val="005F22D9"/>
    <w:rsid w:val="005F27AE"/>
    <w:rsid w:val="006070FD"/>
    <w:rsid w:val="0061103D"/>
    <w:rsid w:val="0062095E"/>
    <w:rsid w:val="00623681"/>
    <w:rsid w:val="00623D4C"/>
    <w:rsid w:val="00625C1C"/>
    <w:rsid w:val="00635C04"/>
    <w:rsid w:val="00644982"/>
    <w:rsid w:val="006577F7"/>
    <w:rsid w:val="00663482"/>
    <w:rsid w:val="00663C7F"/>
    <w:rsid w:val="00666D8B"/>
    <w:rsid w:val="006678D6"/>
    <w:rsid w:val="00675902"/>
    <w:rsid w:val="00675E80"/>
    <w:rsid w:val="00677EE2"/>
    <w:rsid w:val="0069375F"/>
    <w:rsid w:val="00693B09"/>
    <w:rsid w:val="00697DE8"/>
    <w:rsid w:val="006A31EB"/>
    <w:rsid w:val="006A5905"/>
    <w:rsid w:val="006A5FBF"/>
    <w:rsid w:val="006B146E"/>
    <w:rsid w:val="006B3476"/>
    <w:rsid w:val="006B5738"/>
    <w:rsid w:val="006C2ECC"/>
    <w:rsid w:val="006C370A"/>
    <w:rsid w:val="006C651F"/>
    <w:rsid w:val="006C6F1E"/>
    <w:rsid w:val="006C7939"/>
    <w:rsid w:val="006C7D0F"/>
    <w:rsid w:val="006D1617"/>
    <w:rsid w:val="006D75D6"/>
    <w:rsid w:val="006E1D4F"/>
    <w:rsid w:val="006F2AA1"/>
    <w:rsid w:val="006F491E"/>
    <w:rsid w:val="0070193F"/>
    <w:rsid w:val="00702F74"/>
    <w:rsid w:val="00706A5D"/>
    <w:rsid w:val="00710B00"/>
    <w:rsid w:val="00712B42"/>
    <w:rsid w:val="00723AB4"/>
    <w:rsid w:val="007303A9"/>
    <w:rsid w:val="00736F95"/>
    <w:rsid w:val="00744D6E"/>
    <w:rsid w:val="007546C3"/>
    <w:rsid w:val="00760789"/>
    <w:rsid w:val="007643F2"/>
    <w:rsid w:val="0076638F"/>
    <w:rsid w:val="00770716"/>
    <w:rsid w:val="00772A86"/>
    <w:rsid w:val="00772BA6"/>
    <w:rsid w:val="007846D3"/>
    <w:rsid w:val="00784AA3"/>
    <w:rsid w:val="00784B55"/>
    <w:rsid w:val="00785F28"/>
    <w:rsid w:val="00787D94"/>
    <w:rsid w:val="00792148"/>
    <w:rsid w:val="00797AB6"/>
    <w:rsid w:val="007A12BF"/>
    <w:rsid w:val="007A5BD7"/>
    <w:rsid w:val="007B508F"/>
    <w:rsid w:val="007B6397"/>
    <w:rsid w:val="007B75A7"/>
    <w:rsid w:val="007C0C49"/>
    <w:rsid w:val="007D2C17"/>
    <w:rsid w:val="007D5D7D"/>
    <w:rsid w:val="007E080D"/>
    <w:rsid w:val="007E08BE"/>
    <w:rsid w:val="007E2F6E"/>
    <w:rsid w:val="007E380B"/>
    <w:rsid w:val="007F131F"/>
    <w:rsid w:val="007F2C31"/>
    <w:rsid w:val="007F57CF"/>
    <w:rsid w:val="0080297E"/>
    <w:rsid w:val="008029E7"/>
    <w:rsid w:val="008119B0"/>
    <w:rsid w:val="008147BE"/>
    <w:rsid w:val="00815AAA"/>
    <w:rsid w:val="00816AE9"/>
    <w:rsid w:val="00816C36"/>
    <w:rsid w:val="00817E5A"/>
    <w:rsid w:val="008201EB"/>
    <w:rsid w:val="008211CB"/>
    <w:rsid w:val="008255D9"/>
    <w:rsid w:val="008403F5"/>
    <w:rsid w:val="0084222B"/>
    <w:rsid w:val="00843E64"/>
    <w:rsid w:val="008443CA"/>
    <w:rsid w:val="00845375"/>
    <w:rsid w:val="00846E4C"/>
    <w:rsid w:val="0084731F"/>
    <w:rsid w:val="0085197B"/>
    <w:rsid w:val="00856A4E"/>
    <w:rsid w:val="00860488"/>
    <w:rsid w:val="00861E61"/>
    <w:rsid w:val="00865DC8"/>
    <w:rsid w:val="008660E2"/>
    <w:rsid w:val="008662B7"/>
    <w:rsid w:val="00873B1C"/>
    <w:rsid w:val="00874F0B"/>
    <w:rsid w:val="00875592"/>
    <w:rsid w:val="00876F11"/>
    <w:rsid w:val="0088177A"/>
    <w:rsid w:val="00882487"/>
    <w:rsid w:val="008824D0"/>
    <w:rsid w:val="008870BE"/>
    <w:rsid w:val="00890791"/>
    <w:rsid w:val="00890941"/>
    <w:rsid w:val="00892FD0"/>
    <w:rsid w:val="00895DC4"/>
    <w:rsid w:val="008A1A57"/>
    <w:rsid w:val="008A435F"/>
    <w:rsid w:val="008B4835"/>
    <w:rsid w:val="008B7F44"/>
    <w:rsid w:val="008C7B59"/>
    <w:rsid w:val="008D0F3C"/>
    <w:rsid w:val="008D3528"/>
    <w:rsid w:val="008D3ACF"/>
    <w:rsid w:val="008D40E3"/>
    <w:rsid w:val="008D65D9"/>
    <w:rsid w:val="008D7718"/>
    <w:rsid w:val="008E3E0B"/>
    <w:rsid w:val="008E51CC"/>
    <w:rsid w:val="008F05BD"/>
    <w:rsid w:val="008F444C"/>
    <w:rsid w:val="008F4996"/>
    <w:rsid w:val="00904362"/>
    <w:rsid w:val="00904957"/>
    <w:rsid w:val="00906A8E"/>
    <w:rsid w:val="00911054"/>
    <w:rsid w:val="009218E9"/>
    <w:rsid w:val="0092314E"/>
    <w:rsid w:val="0092406E"/>
    <w:rsid w:val="0092465B"/>
    <w:rsid w:val="009310B8"/>
    <w:rsid w:val="00933FA7"/>
    <w:rsid w:val="00937C98"/>
    <w:rsid w:val="00953924"/>
    <w:rsid w:val="00956C22"/>
    <w:rsid w:val="00964AD0"/>
    <w:rsid w:val="009702B7"/>
    <w:rsid w:val="00970DED"/>
    <w:rsid w:val="0097253F"/>
    <w:rsid w:val="00973D0D"/>
    <w:rsid w:val="00976907"/>
    <w:rsid w:val="00981EE5"/>
    <w:rsid w:val="00990B26"/>
    <w:rsid w:val="00991BD2"/>
    <w:rsid w:val="00995A0A"/>
    <w:rsid w:val="00995B99"/>
    <w:rsid w:val="00995C27"/>
    <w:rsid w:val="009A0EDD"/>
    <w:rsid w:val="009A1EBB"/>
    <w:rsid w:val="009A24E5"/>
    <w:rsid w:val="009A62F1"/>
    <w:rsid w:val="009B03C3"/>
    <w:rsid w:val="009B0E4B"/>
    <w:rsid w:val="009D633D"/>
    <w:rsid w:val="009D637F"/>
    <w:rsid w:val="009E1F87"/>
    <w:rsid w:val="009E4387"/>
    <w:rsid w:val="009E57E1"/>
    <w:rsid w:val="00A026ED"/>
    <w:rsid w:val="00A0439C"/>
    <w:rsid w:val="00A0486B"/>
    <w:rsid w:val="00A0530A"/>
    <w:rsid w:val="00A10270"/>
    <w:rsid w:val="00A11BF5"/>
    <w:rsid w:val="00A23C77"/>
    <w:rsid w:val="00A30CCD"/>
    <w:rsid w:val="00A35745"/>
    <w:rsid w:val="00A447F8"/>
    <w:rsid w:val="00A454B6"/>
    <w:rsid w:val="00A4712C"/>
    <w:rsid w:val="00A51462"/>
    <w:rsid w:val="00A53741"/>
    <w:rsid w:val="00A53BD3"/>
    <w:rsid w:val="00A61FA1"/>
    <w:rsid w:val="00A66ECD"/>
    <w:rsid w:val="00A721AF"/>
    <w:rsid w:val="00A80499"/>
    <w:rsid w:val="00A81C37"/>
    <w:rsid w:val="00AA039C"/>
    <w:rsid w:val="00AA06D0"/>
    <w:rsid w:val="00AA2B94"/>
    <w:rsid w:val="00AA76F4"/>
    <w:rsid w:val="00AB1FEC"/>
    <w:rsid w:val="00AC1EBE"/>
    <w:rsid w:val="00AC65C3"/>
    <w:rsid w:val="00AC66B9"/>
    <w:rsid w:val="00AC7ADA"/>
    <w:rsid w:val="00AD18B8"/>
    <w:rsid w:val="00AD1942"/>
    <w:rsid w:val="00AF740E"/>
    <w:rsid w:val="00B05374"/>
    <w:rsid w:val="00B1384A"/>
    <w:rsid w:val="00B1438C"/>
    <w:rsid w:val="00B16BC9"/>
    <w:rsid w:val="00B17945"/>
    <w:rsid w:val="00B21308"/>
    <w:rsid w:val="00B21E5F"/>
    <w:rsid w:val="00B25223"/>
    <w:rsid w:val="00B2649E"/>
    <w:rsid w:val="00B336F3"/>
    <w:rsid w:val="00B36029"/>
    <w:rsid w:val="00B43C25"/>
    <w:rsid w:val="00B45F2B"/>
    <w:rsid w:val="00B5277D"/>
    <w:rsid w:val="00B55E89"/>
    <w:rsid w:val="00B60A7B"/>
    <w:rsid w:val="00B6590D"/>
    <w:rsid w:val="00B701BB"/>
    <w:rsid w:val="00B84533"/>
    <w:rsid w:val="00B84E18"/>
    <w:rsid w:val="00B86C5F"/>
    <w:rsid w:val="00B87CE9"/>
    <w:rsid w:val="00B929F6"/>
    <w:rsid w:val="00B92BDE"/>
    <w:rsid w:val="00B935A2"/>
    <w:rsid w:val="00B93D5E"/>
    <w:rsid w:val="00B96D21"/>
    <w:rsid w:val="00BA1632"/>
    <w:rsid w:val="00BA555A"/>
    <w:rsid w:val="00BA5690"/>
    <w:rsid w:val="00BB03F9"/>
    <w:rsid w:val="00BB1824"/>
    <w:rsid w:val="00BC578D"/>
    <w:rsid w:val="00BE0EB4"/>
    <w:rsid w:val="00BE364F"/>
    <w:rsid w:val="00BE7913"/>
    <w:rsid w:val="00BF15E0"/>
    <w:rsid w:val="00BF2A76"/>
    <w:rsid w:val="00C01079"/>
    <w:rsid w:val="00C02D30"/>
    <w:rsid w:val="00C113AD"/>
    <w:rsid w:val="00C11550"/>
    <w:rsid w:val="00C115DB"/>
    <w:rsid w:val="00C16F6E"/>
    <w:rsid w:val="00C17E8D"/>
    <w:rsid w:val="00C251F1"/>
    <w:rsid w:val="00C31203"/>
    <w:rsid w:val="00C32703"/>
    <w:rsid w:val="00C32AE7"/>
    <w:rsid w:val="00C37B10"/>
    <w:rsid w:val="00C37FD2"/>
    <w:rsid w:val="00C43CF7"/>
    <w:rsid w:val="00C46450"/>
    <w:rsid w:val="00C469E4"/>
    <w:rsid w:val="00C53D2F"/>
    <w:rsid w:val="00C60B57"/>
    <w:rsid w:val="00C65E48"/>
    <w:rsid w:val="00C711E1"/>
    <w:rsid w:val="00C72363"/>
    <w:rsid w:val="00C7385D"/>
    <w:rsid w:val="00C74418"/>
    <w:rsid w:val="00C764D4"/>
    <w:rsid w:val="00C7680C"/>
    <w:rsid w:val="00C77BE3"/>
    <w:rsid w:val="00C80C55"/>
    <w:rsid w:val="00C80D17"/>
    <w:rsid w:val="00C85A74"/>
    <w:rsid w:val="00C8675B"/>
    <w:rsid w:val="00C873C1"/>
    <w:rsid w:val="00C93626"/>
    <w:rsid w:val="00C94C12"/>
    <w:rsid w:val="00CA085C"/>
    <w:rsid w:val="00CA3CC6"/>
    <w:rsid w:val="00CA5606"/>
    <w:rsid w:val="00CB2A37"/>
    <w:rsid w:val="00CB3BB4"/>
    <w:rsid w:val="00CB3FE8"/>
    <w:rsid w:val="00CC4CAC"/>
    <w:rsid w:val="00CD095E"/>
    <w:rsid w:val="00CD17CF"/>
    <w:rsid w:val="00CD4702"/>
    <w:rsid w:val="00CE3209"/>
    <w:rsid w:val="00CF1723"/>
    <w:rsid w:val="00CF1D3A"/>
    <w:rsid w:val="00CF446D"/>
    <w:rsid w:val="00CF5D87"/>
    <w:rsid w:val="00CF65D4"/>
    <w:rsid w:val="00D04241"/>
    <w:rsid w:val="00D07A19"/>
    <w:rsid w:val="00D17B48"/>
    <w:rsid w:val="00D20A22"/>
    <w:rsid w:val="00D21802"/>
    <w:rsid w:val="00D21962"/>
    <w:rsid w:val="00D31937"/>
    <w:rsid w:val="00D31E0B"/>
    <w:rsid w:val="00D3587A"/>
    <w:rsid w:val="00D40E46"/>
    <w:rsid w:val="00D4149C"/>
    <w:rsid w:val="00D478AB"/>
    <w:rsid w:val="00D50647"/>
    <w:rsid w:val="00D562F2"/>
    <w:rsid w:val="00D57D82"/>
    <w:rsid w:val="00D63A76"/>
    <w:rsid w:val="00D659A4"/>
    <w:rsid w:val="00D714F5"/>
    <w:rsid w:val="00D71D87"/>
    <w:rsid w:val="00D73CF7"/>
    <w:rsid w:val="00D73EAA"/>
    <w:rsid w:val="00D7437F"/>
    <w:rsid w:val="00D80CDB"/>
    <w:rsid w:val="00D85CAD"/>
    <w:rsid w:val="00D86DE1"/>
    <w:rsid w:val="00D90FAF"/>
    <w:rsid w:val="00D93373"/>
    <w:rsid w:val="00D93BF2"/>
    <w:rsid w:val="00DA12D4"/>
    <w:rsid w:val="00DA4CC1"/>
    <w:rsid w:val="00DA70A0"/>
    <w:rsid w:val="00DA786D"/>
    <w:rsid w:val="00DB0D1A"/>
    <w:rsid w:val="00DB1EAC"/>
    <w:rsid w:val="00DB2FBE"/>
    <w:rsid w:val="00DB515A"/>
    <w:rsid w:val="00DC43C1"/>
    <w:rsid w:val="00DC704F"/>
    <w:rsid w:val="00DD48B9"/>
    <w:rsid w:val="00DD7D4D"/>
    <w:rsid w:val="00DE4F2F"/>
    <w:rsid w:val="00DE7F68"/>
    <w:rsid w:val="00DF3FAF"/>
    <w:rsid w:val="00DF5967"/>
    <w:rsid w:val="00DF74EA"/>
    <w:rsid w:val="00E00067"/>
    <w:rsid w:val="00E05B95"/>
    <w:rsid w:val="00E07CA7"/>
    <w:rsid w:val="00E12841"/>
    <w:rsid w:val="00E1375A"/>
    <w:rsid w:val="00E15181"/>
    <w:rsid w:val="00E15871"/>
    <w:rsid w:val="00E2609A"/>
    <w:rsid w:val="00E3692D"/>
    <w:rsid w:val="00E414A3"/>
    <w:rsid w:val="00E41C7C"/>
    <w:rsid w:val="00E4574F"/>
    <w:rsid w:val="00E4606B"/>
    <w:rsid w:val="00E46B8A"/>
    <w:rsid w:val="00E52607"/>
    <w:rsid w:val="00E52E3D"/>
    <w:rsid w:val="00E53619"/>
    <w:rsid w:val="00E5550C"/>
    <w:rsid w:val="00E55D18"/>
    <w:rsid w:val="00E56287"/>
    <w:rsid w:val="00E65249"/>
    <w:rsid w:val="00E70A71"/>
    <w:rsid w:val="00E90091"/>
    <w:rsid w:val="00E92A1A"/>
    <w:rsid w:val="00E93D33"/>
    <w:rsid w:val="00E949FA"/>
    <w:rsid w:val="00E97441"/>
    <w:rsid w:val="00EA1CD0"/>
    <w:rsid w:val="00EA318A"/>
    <w:rsid w:val="00EB7958"/>
    <w:rsid w:val="00EB7E48"/>
    <w:rsid w:val="00EC18DD"/>
    <w:rsid w:val="00EC3108"/>
    <w:rsid w:val="00EC65CC"/>
    <w:rsid w:val="00ED188C"/>
    <w:rsid w:val="00ED6A0E"/>
    <w:rsid w:val="00EE0B44"/>
    <w:rsid w:val="00EF0512"/>
    <w:rsid w:val="00EF6A82"/>
    <w:rsid w:val="00F0002D"/>
    <w:rsid w:val="00F00EBC"/>
    <w:rsid w:val="00F066CF"/>
    <w:rsid w:val="00F06C87"/>
    <w:rsid w:val="00F114A4"/>
    <w:rsid w:val="00F12C9A"/>
    <w:rsid w:val="00F171EB"/>
    <w:rsid w:val="00F21EB6"/>
    <w:rsid w:val="00F324E7"/>
    <w:rsid w:val="00F33E23"/>
    <w:rsid w:val="00F347A8"/>
    <w:rsid w:val="00F40FEE"/>
    <w:rsid w:val="00F41C5A"/>
    <w:rsid w:val="00F44B5A"/>
    <w:rsid w:val="00F45C9A"/>
    <w:rsid w:val="00F46017"/>
    <w:rsid w:val="00F46D9D"/>
    <w:rsid w:val="00F61974"/>
    <w:rsid w:val="00F65697"/>
    <w:rsid w:val="00F7021D"/>
    <w:rsid w:val="00F73442"/>
    <w:rsid w:val="00F74E73"/>
    <w:rsid w:val="00F76FDB"/>
    <w:rsid w:val="00F850D0"/>
    <w:rsid w:val="00F8599A"/>
    <w:rsid w:val="00F8631D"/>
    <w:rsid w:val="00F93410"/>
    <w:rsid w:val="00F94264"/>
    <w:rsid w:val="00F979DC"/>
    <w:rsid w:val="00FA29F7"/>
    <w:rsid w:val="00FA4AFB"/>
    <w:rsid w:val="00FB0B30"/>
    <w:rsid w:val="00FB1FD0"/>
    <w:rsid w:val="00FB4090"/>
    <w:rsid w:val="00FB74CE"/>
    <w:rsid w:val="00FC0249"/>
    <w:rsid w:val="00FC12F8"/>
    <w:rsid w:val="00FC1A77"/>
    <w:rsid w:val="00FC615A"/>
    <w:rsid w:val="00FC6B5B"/>
    <w:rsid w:val="00FD573F"/>
    <w:rsid w:val="00FD6F95"/>
    <w:rsid w:val="00FD725E"/>
    <w:rsid w:val="00FE49EF"/>
    <w:rsid w:val="00FE5D1C"/>
    <w:rsid w:val="00FE6E5A"/>
    <w:rsid w:val="00FF059C"/>
    <w:rsid w:val="00FF37E3"/>
    <w:rsid w:val="00FF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111A3"/>
  <w15:chartTrackingRefBased/>
  <w15:docId w15:val="{32C72D0A-DDD4-4E7D-9E44-B49D223E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C37"/>
  </w:style>
  <w:style w:type="paragraph" w:styleId="Heading1">
    <w:name w:val="heading 1"/>
    <w:basedOn w:val="Normal"/>
    <w:next w:val="Normal"/>
    <w:link w:val="Heading1Char"/>
    <w:uiPriority w:val="9"/>
    <w:qFormat/>
    <w:rsid w:val="00111F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11F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11F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11F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111F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111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11F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111F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111F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11F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111FD5"/>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111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FD5"/>
    <w:rPr>
      <w:rFonts w:eastAsiaTheme="majorEastAsia" w:cstheme="majorBidi"/>
      <w:color w:val="272727" w:themeColor="text1" w:themeTint="D8"/>
    </w:rPr>
  </w:style>
  <w:style w:type="paragraph" w:styleId="Title">
    <w:name w:val="Title"/>
    <w:basedOn w:val="Normal"/>
    <w:next w:val="Normal"/>
    <w:link w:val="TitleChar"/>
    <w:uiPriority w:val="10"/>
    <w:qFormat/>
    <w:rsid w:val="00111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111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FD5"/>
    <w:pPr>
      <w:spacing w:before="160"/>
      <w:jc w:val="center"/>
    </w:pPr>
    <w:rPr>
      <w:i/>
      <w:iCs/>
      <w:color w:val="404040" w:themeColor="text1" w:themeTint="BF"/>
    </w:rPr>
  </w:style>
  <w:style w:type="character" w:customStyle="1" w:styleId="QuoteChar">
    <w:name w:val="Quote Char"/>
    <w:basedOn w:val="DefaultParagraphFont"/>
    <w:link w:val="Quote"/>
    <w:uiPriority w:val="29"/>
    <w:rsid w:val="00111FD5"/>
    <w:rPr>
      <w:i/>
      <w:iCs/>
      <w:color w:val="404040" w:themeColor="text1" w:themeTint="BF"/>
    </w:rPr>
  </w:style>
  <w:style w:type="paragraph" w:styleId="ListParagraph">
    <w:name w:val="List Paragraph"/>
    <w:basedOn w:val="Normal"/>
    <w:link w:val="ListParagraphChar"/>
    <w:uiPriority w:val="34"/>
    <w:qFormat/>
    <w:rsid w:val="00111FD5"/>
    <w:pPr>
      <w:ind w:left="720"/>
      <w:contextualSpacing/>
    </w:pPr>
  </w:style>
  <w:style w:type="character" w:styleId="IntenseEmphasis">
    <w:name w:val="Intense Emphasis"/>
    <w:basedOn w:val="DefaultParagraphFont"/>
    <w:uiPriority w:val="21"/>
    <w:qFormat/>
    <w:rsid w:val="00111FD5"/>
    <w:rPr>
      <w:i/>
      <w:iCs/>
      <w:color w:val="2F5496" w:themeColor="accent1" w:themeShade="BF"/>
    </w:rPr>
  </w:style>
  <w:style w:type="paragraph" w:styleId="IntenseQuote">
    <w:name w:val="Intense Quote"/>
    <w:basedOn w:val="Normal"/>
    <w:next w:val="Normal"/>
    <w:link w:val="IntenseQuoteChar"/>
    <w:uiPriority w:val="30"/>
    <w:qFormat/>
    <w:rsid w:val="00111F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1FD5"/>
    <w:rPr>
      <w:i/>
      <w:iCs/>
      <w:color w:val="2F5496" w:themeColor="accent1" w:themeShade="BF"/>
    </w:rPr>
  </w:style>
  <w:style w:type="character" w:styleId="IntenseReference">
    <w:name w:val="Intense Reference"/>
    <w:basedOn w:val="DefaultParagraphFont"/>
    <w:uiPriority w:val="32"/>
    <w:qFormat/>
    <w:rsid w:val="00111FD5"/>
    <w:rPr>
      <w:b/>
      <w:bCs/>
      <w:smallCaps/>
      <w:color w:val="2F5496" w:themeColor="accent1" w:themeShade="BF"/>
      <w:spacing w:val="5"/>
    </w:rPr>
  </w:style>
  <w:style w:type="paragraph" w:styleId="Header">
    <w:name w:val="header"/>
    <w:basedOn w:val="Normal"/>
    <w:link w:val="HeaderChar"/>
    <w:uiPriority w:val="99"/>
    <w:unhideWhenUsed/>
    <w:qFormat/>
    <w:rsid w:val="00111FD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11FD5"/>
  </w:style>
  <w:style w:type="paragraph" w:styleId="Footer">
    <w:name w:val="footer"/>
    <w:basedOn w:val="Normal"/>
    <w:link w:val="FooterChar"/>
    <w:uiPriority w:val="99"/>
    <w:unhideWhenUsed/>
    <w:qFormat/>
    <w:rsid w:val="00111FD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1FD5"/>
  </w:style>
  <w:style w:type="paragraph" w:styleId="NoSpacing">
    <w:name w:val="No Spacing"/>
    <w:link w:val="NoSpacingChar"/>
    <w:uiPriority w:val="1"/>
    <w:qFormat/>
    <w:rsid w:val="0013296F"/>
    <w:pPr>
      <w:spacing w:after="0" w:line="240" w:lineRule="auto"/>
    </w:pPr>
  </w:style>
  <w:style w:type="character" w:styleId="Hyperlink">
    <w:name w:val="Hyperlink"/>
    <w:basedOn w:val="DefaultParagraphFont"/>
    <w:uiPriority w:val="99"/>
    <w:unhideWhenUsed/>
    <w:qFormat/>
    <w:rsid w:val="008029E7"/>
    <w:rPr>
      <w:color w:val="0563C1" w:themeColor="hyperlink"/>
      <w:u w:val="single"/>
    </w:rPr>
  </w:style>
  <w:style w:type="character" w:customStyle="1" w:styleId="UnresolvedMention1">
    <w:name w:val="Unresolved Mention1"/>
    <w:basedOn w:val="DefaultParagraphFont"/>
    <w:uiPriority w:val="99"/>
    <w:semiHidden/>
    <w:unhideWhenUsed/>
    <w:qFormat/>
    <w:rsid w:val="008029E7"/>
    <w:rPr>
      <w:color w:val="605E5C"/>
      <w:shd w:val="clear" w:color="auto" w:fill="E1DFDD"/>
    </w:rPr>
  </w:style>
  <w:style w:type="table" w:styleId="TableGrid">
    <w:name w:val="Table Grid"/>
    <w:basedOn w:val="TableNormal"/>
    <w:uiPriority w:val="39"/>
    <w:qFormat/>
    <w:rsid w:val="008029E7"/>
    <w:pPr>
      <w:spacing w:after="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D80CDB"/>
    <w:pPr>
      <w:spacing w:after="120"/>
    </w:pPr>
  </w:style>
  <w:style w:type="character" w:customStyle="1" w:styleId="BodyTextChar">
    <w:name w:val="Body Text Char"/>
    <w:basedOn w:val="DefaultParagraphFont"/>
    <w:link w:val="BodyText"/>
    <w:uiPriority w:val="1"/>
    <w:qFormat/>
    <w:rsid w:val="00D80CDB"/>
  </w:style>
  <w:style w:type="paragraph" w:customStyle="1" w:styleId="TableParagraph">
    <w:name w:val="Table Paragraph"/>
    <w:basedOn w:val="Normal"/>
    <w:uiPriority w:val="1"/>
    <w:qFormat/>
    <w:rsid w:val="00036158"/>
    <w:pPr>
      <w:widowControl w:val="0"/>
      <w:autoSpaceDE w:val="0"/>
      <w:autoSpaceDN w:val="0"/>
      <w:spacing w:before="5" w:after="0" w:line="228" w:lineRule="exact"/>
    </w:pPr>
    <w:rPr>
      <w:rFonts w:ascii="Arial" w:eastAsia="Arial" w:hAnsi="Arial" w:cs="Arial"/>
      <w:kern w:val="0"/>
      <w:sz w:val="22"/>
      <w:szCs w:val="22"/>
      <w14:ligatures w14:val="none"/>
    </w:rPr>
  </w:style>
  <w:style w:type="table" w:customStyle="1" w:styleId="TableGrid1">
    <w:name w:val="Table Grid1"/>
    <w:basedOn w:val="TableNormal"/>
    <w:next w:val="TableGrid"/>
    <w:uiPriority w:val="39"/>
    <w:qFormat/>
    <w:rsid w:val="00C80C55"/>
    <w:pPr>
      <w:spacing w:after="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0B30"/>
    <w:rPr>
      <w:b/>
      <w:bCs/>
    </w:rPr>
  </w:style>
  <w:style w:type="paragraph" w:styleId="NormalWeb">
    <w:name w:val="Normal (Web)"/>
    <w:basedOn w:val="Normal"/>
    <w:uiPriority w:val="99"/>
    <w:unhideWhenUsed/>
    <w:qFormat/>
    <w:rsid w:val="00FB0B30"/>
    <w:rPr>
      <w:rFonts w:ascii="Times New Roman" w:hAnsi="Times New Roman" w:cs="Times New Roman"/>
    </w:rPr>
  </w:style>
  <w:style w:type="table" w:customStyle="1" w:styleId="TableGrid2">
    <w:name w:val="Table Grid2"/>
    <w:basedOn w:val="TableNormal"/>
    <w:next w:val="TableGrid"/>
    <w:uiPriority w:val="39"/>
    <w:qFormat/>
    <w:rsid w:val="004F01D0"/>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qFormat/>
    <w:rsid w:val="00953924"/>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qFormat/>
    <w:rsid w:val="00953924"/>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qFormat/>
    <w:rsid w:val="00953924"/>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953924"/>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qFormat/>
    <w:rsid w:val="00953924"/>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953924"/>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4B75AF"/>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qFormat/>
    <w:rsid w:val="004B75AF"/>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qFormat/>
    <w:rsid w:val="004B75AF"/>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qFormat/>
    <w:rsid w:val="004B75AF"/>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39"/>
    <w:qFormat/>
    <w:rsid w:val="004B75AF"/>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39"/>
    <w:qFormat/>
    <w:rsid w:val="004B75AF"/>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39"/>
    <w:qFormat/>
    <w:rsid w:val="004B75AF"/>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39"/>
    <w:qFormat/>
    <w:rsid w:val="004B75AF"/>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39"/>
    <w:qFormat/>
    <w:rsid w:val="004B75AF"/>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39"/>
    <w:qFormat/>
    <w:rsid w:val="004B75AF"/>
    <w:pPr>
      <w:spacing w:after="0" w:line="240" w:lineRule="auto"/>
    </w:pPr>
    <w:rPr>
      <w:rFonts w:eastAsia="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qFormat/>
    <w:rsid w:val="00A0439C"/>
  </w:style>
  <w:style w:type="table" w:customStyle="1" w:styleId="TableGrid101">
    <w:name w:val="Table Grid101"/>
    <w:basedOn w:val="TableNormal"/>
    <w:uiPriority w:val="39"/>
    <w:qFormat/>
    <w:rsid w:val="00B21308"/>
    <w:pPr>
      <w:spacing w:after="0" w:line="240" w:lineRule="auto"/>
    </w:pPr>
    <w:rPr>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sid w:val="00B21308"/>
    <w:pPr>
      <w:spacing w:after="0" w:line="240" w:lineRule="auto"/>
    </w:pPr>
    <w:rPr>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B21308"/>
    <w:pPr>
      <w:spacing w:after="0" w:line="240" w:lineRule="auto"/>
    </w:pPr>
    <w:rPr>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E5550C"/>
    <w:pPr>
      <w:spacing w:after="0" w:line="240" w:lineRule="auto"/>
    </w:pPr>
    <w:rPr>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E5550C"/>
    <w:pPr>
      <w:spacing w:after="0" w:line="240" w:lineRule="auto"/>
    </w:pPr>
    <w:rPr>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E5550C"/>
    <w:pPr>
      <w:spacing w:after="0" w:line="240" w:lineRule="auto"/>
    </w:pPr>
    <w:rPr>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221BFF"/>
    <w:pPr>
      <w:spacing w:after="0" w:line="240" w:lineRule="auto"/>
    </w:pPr>
    <w:rPr>
      <w:kern w:val="0"/>
      <w:sz w:val="20"/>
      <w:szCs w:val="20"/>
      <w:lang w:val="en-PH" w:eastAsia="en-PH"/>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uiPriority w:val="39"/>
    <w:rsid w:val="00221BFF"/>
    <w:pPr>
      <w:spacing w:after="0" w:line="240" w:lineRule="auto"/>
    </w:pPr>
    <w:rPr>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221BFF"/>
    <w:pPr>
      <w:spacing w:after="0" w:line="240" w:lineRule="auto"/>
    </w:pPr>
    <w:rPr>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qFormat/>
    <w:rsid w:val="00C113AD"/>
    <w:pPr>
      <w:spacing w:after="0" w:line="240" w:lineRule="auto"/>
    </w:pPr>
    <w:rPr>
      <w:kern w:val="0"/>
      <w:sz w:val="20"/>
      <w:szCs w:val="20"/>
      <w:lang w:val="en-PH" w:eastAsia="en-PH"/>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qFormat/>
    <w:rsid w:val="00434DEC"/>
    <w:pPr>
      <w:spacing w:after="0" w:line="240" w:lineRule="auto"/>
    </w:pPr>
    <w:rPr>
      <w:kern w:val="0"/>
      <w:sz w:val="20"/>
      <w:szCs w:val="20"/>
      <w:lang w:val="en-PH" w:eastAsia="en-PH"/>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39"/>
    <w:qFormat/>
    <w:rsid w:val="00434DEC"/>
    <w:pPr>
      <w:spacing w:after="0" w:line="240" w:lineRule="auto"/>
    </w:pPr>
    <w:rPr>
      <w:kern w:val="0"/>
      <w:sz w:val="20"/>
      <w:szCs w:val="20"/>
      <w:lang w:val="en-PH" w:eastAsia="en-PH"/>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E15871"/>
    <w:rPr>
      <w:color w:val="605E5C"/>
      <w:shd w:val="clear" w:color="auto" w:fill="E1DFDD"/>
    </w:rPr>
  </w:style>
  <w:style w:type="character" w:customStyle="1" w:styleId="tirauthor">
    <w:name w:val="tirauthor"/>
    <w:rsid w:val="00E15871"/>
  </w:style>
  <w:style w:type="character" w:styleId="LineNumber">
    <w:name w:val="line number"/>
    <w:basedOn w:val="DefaultParagraphFont"/>
    <w:uiPriority w:val="99"/>
    <w:rsid w:val="00E15871"/>
  </w:style>
  <w:style w:type="character" w:styleId="Emphasis">
    <w:name w:val="Emphasis"/>
    <w:uiPriority w:val="20"/>
    <w:qFormat/>
    <w:rsid w:val="00E15871"/>
    <w:rPr>
      <w:i/>
      <w:iCs/>
    </w:rPr>
  </w:style>
  <w:style w:type="character" w:customStyle="1" w:styleId="hit">
    <w:name w:val="hit"/>
    <w:rsid w:val="00E15871"/>
    <w:rPr>
      <w:b/>
      <w:bCs/>
      <w:color w:val="FF0000"/>
    </w:rPr>
  </w:style>
  <w:style w:type="character" w:styleId="PageNumber">
    <w:name w:val="page number"/>
    <w:rsid w:val="00E15871"/>
    <w:rPr>
      <w:rFonts w:ascii="Arial" w:hAnsi="Arial" w:cs="Arial"/>
      <w:sz w:val="24"/>
      <w:szCs w:val="24"/>
    </w:rPr>
  </w:style>
  <w:style w:type="character" w:styleId="FootnoteReference">
    <w:name w:val="footnote reference"/>
    <w:rsid w:val="00E15871"/>
    <w:rPr>
      <w:vertAlign w:val="superscript"/>
    </w:rPr>
  </w:style>
  <w:style w:type="character" w:customStyle="1" w:styleId="z-BottomofFormChar">
    <w:name w:val="z-Bottom of Form Char"/>
    <w:link w:val="z-BottomofForm"/>
    <w:rsid w:val="00E15871"/>
    <w:rPr>
      <w:rFonts w:ascii="Arial" w:hAnsi="Arial" w:cs="Arial"/>
      <w:vanish/>
      <w:sz w:val="16"/>
      <w:szCs w:val="16"/>
    </w:rPr>
  </w:style>
  <w:style w:type="character" w:customStyle="1" w:styleId="apple-converted-space">
    <w:name w:val="apple-converted-space"/>
    <w:qFormat/>
    <w:rsid w:val="00E15871"/>
  </w:style>
  <w:style w:type="character" w:customStyle="1" w:styleId="FootnoteTextChar">
    <w:name w:val="Footnote Text Char"/>
    <w:link w:val="FootnoteText"/>
    <w:uiPriority w:val="99"/>
    <w:rsid w:val="00E15871"/>
  </w:style>
  <w:style w:type="character" w:customStyle="1" w:styleId="z-TopofFormChar">
    <w:name w:val="z-Top of Form Char"/>
    <w:link w:val="z-TopofForm"/>
    <w:rsid w:val="00E15871"/>
    <w:rPr>
      <w:rFonts w:ascii="Arial" w:hAnsi="Arial" w:cs="Arial"/>
      <w:vanish/>
      <w:sz w:val="16"/>
      <w:szCs w:val="16"/>
    </w:rPr>
  </w:style>
  <w:style w:type="character" w:customStyle="1" w:styleId="BalloonTextChar">
    <w:name w:val="Balloon Text Char"/>
    <w:link w:val="BalloonText"/>
    <w:uiPriority w:val="99"/>
    <w:qFormat/>
    <w:rsid w:val="00E15871"/>
    <w:rPr>
      <w:rFonts w:ascii="Tahoma" w:hAnsi="Tahoma" w:cs="Tahoma"/>
      <w:sz w:val="16"/>
      <w:szCs w:val="16"/>
    </w:rPr>
  </w:style>
  <w:style w:type="paragraph" w:customStyle="1" w:styleId="Normal1">
    <w:name w:val="Normal+1"/>
    <w:basedOn w:val="Normal"/>
    <w:next w:val="Normal"/>
    <w:rsid w:val="00E15871"/>
    <w:pPr>
      <w:suppressAutoHyphens/>
      <w:autoSpaceDE w:val="0"/>
      <w:spacing w:after="0" w:line="240" w:lineRule="auto"/>
    </w:pPr>
    <w:rPr>
      <w:rFonts w:ascii="Times New Roman" w:eastAsia="SimSun" w:hAnsi="Times New Roman" w:cs="Times New Roman"/>
      <w:kern w:val="0"/>
      <w:lang w:eastAsia="ar-SA"/>
      <w14:ligatures w14:val="none"/>
    </w:rPr>
  </w:style>
  <w:style w:type="character" w:customStyle="1" w:styleId="TitleChar1">
    <w:name w:val="Title Char1"/>
    <w:basedOn w:val="DefaultParagraphFont"/>
    <w:uiPriority w:val="99"/>
    <w:rsid w:val="00E15871"/>
    <w:rPr>
      <w:rFonts w:asciiTheme="majorHAnsi" w:eastAsiaTheme="majorEastAsia" w:hAnsiTheme="majorHAnsi" w:cstheme="majorBidi"/>
      <w:spacing w:val="-10"/>
      <w:kern w:val="28"/>
      <w:sz w:val="56"/>
      <w:szCs w:val="56"/>
      <w:lang w:val="en-US" w:eastAsia="en-US"/>
    </w:rPr>
  </w:style>
  <w:style w:type="paragraph" w:styleId="BodyText2">
    <w:name w:val="Body Text 2"/>
    <w:basedOn w:val="Normal"/>
    <w:link w:val="BodyText2Char"/>
    <w:rsid w:val="00E15871"/>
    <w:pPr>
      <w:spacing w:after="0" w:line="240" w:lineRule="auto"/>
      <w:jc w:val="center"/>
    </w:pPr>
    <w:rPr>
      <w:rFonts w:ascii="Times New Roman" w:eastAsia="SimSun" w:hAnsi="Times New Roman" w:cs="Times New Roman"/>
      <w:b/>
      <w:kern w:val="0"/>
      <w:sz w:val="28"/>
      <w:szCs w:val="20"/>
      <w14:ligatures w14:val="none"/>
    </w:rPr>
  </w:style>
  <w:style w:type="character" w:customStyle="1" w:styleId="BodyText2Char">
    <w:name w:val="Body Text 2 Char"/>
    <w:basedOn w:val="DefaultParagraphFont"/>
    <w:link w:val="BodyText2"/>
    <w:rsid w:val="00E15871"/>
    <w:rPr>
      <w:rFonts w:ascii="Times New Roman" w:eastAsia="SimSun" w:hAnsi="Times New Roman" w:cs="Times New Roman"/>
      <w:b/>
      <w:kern w:val="0"/>
      <w:sz w:val="28"/>
      <w:szCs w:val="20"/>
      <w14:ligatures w14:val="none"/>
    </w:rPr>
  </w:style>
  <w:style w:type="paragraph" w:customStyle="1" w:styleId="BodyText1">
    <w:name w:val="Body Text+1"/>
    <w:basedOn w:val="Normal"/>
    <w:next w:val="Normal"/>
    <w:rsid w:val="00E15871"/>
    <w:pPr>
      <w:suppressAutoHyphens/>
      <w:autoSpaceDE w:val="0"/>
      <w:spacing w:after="0" w:line="240" w:lineRule="auto"/>
    </w:pPr>
    <w:rPr>
      <w:rFonts w:ascii="Times New Roman" w:eastAsia="SimSun" w:hAnsi="Times New Roman" w:cs="Times New Roman"/>
      <w:kern w:val="0"/>
      <w:lang w:eastAsia="ar-SA"/>
      <w14:ligatures w14:val="none"/>
    </w:rPr>
  </w:style>
  <w:style w:type="paragraph" w:styleId="BalloonText">
    <w:name w:val="Balloon Text"/>
    <w:basedOn w:val="Normal"/>
    <w:link w:val="BalloonTextChar"/>
    <w:uiPriority w:val="99"/>
    <w:qFormat/>
    <w:rsid w:val="00E15871"/>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15871"/>
    <w:rPr>
      <w:rFonts w:ascii="Segoe UI" w:hAnsi="Segoe UI" w:cs="Segoe UI"/>
      <w:sz w:val="18"/>
      <w:szCs w:val="18"/>
    </w:rPr>
  </w:style>
  <w:style w:type="paragraph" w:customStyle="1" w:styleId="Pa2">
    <w:name w:val="Pa2"/>
    <w:basedOn w:val="Default"/>
    <w:next w:val="Default"/>
    <w:uiPriority w:val="99"/>
    <w:rsid w:val="00E15871"/>
    <w:pPr>
      <w:spacing w:line="201" w:lineRule="atLeast"/>
    </w:pPr>
    <w:rPr>
      <w:rFonts w:cs="Times New Roman"/>
      <w:color w:val="auto"/>
    </w:rPr>
  </w:style>
  <w:style w:type="paragraph" w:styleId="BodyTextIndent">
    <w:name w:val="Body Text Indent"/>
    <w:basedOn w:val="Normal"/>
    <w:link w:val="BodyTextIndentChar"/>
    <w:rsid w:val="00E15871"/>
    <w:pPr>
      <w:spacing w:after="0" w:line="240" w:lineRule="auto"/>
      <w:ind w:left="1080" w:firstLine="360"/>
      <w:jc w:val="both"/>
    </w:pPr>
    <w:rPr>
      <w:rFonts w:ascii="Times New Roman" w:eastAsia="SimSun" w:hAnsi="Times New Roman" w:cs="Times New Roman"/>
      <w:kern w:val="0"/>
      <w14:ligatures w14:val="none"/>
    </w:rPr>
  </w:style>
  <w:style w:type="character" w:customStyle="1" w:styleId="BodyTextIndentChar">
    <w:name w:val="Body Text Indent Char"/>
    <w:basedOn w:val="DefaultParagraphFont"/>
    <w:link w:val="BodyTextIndent"/>
    <w:rsid w:val="00E15871"/>
    <w:rPr>
      <w:rFonts w:ascii="Times New Roman" w:eastAsia="SimSun" w:hAnsi="Times New Roman" w:cs="Times New Roman"/>
      <w:kern w:val="0"/>
      <w14:ligatures w14:val="none"/>
    </w:rPr>
  </w:style>
  <w:style w:type="paragraph" w:styleId="BodyTextIndent2">
    <w:name w:val="Body Text Indent 2"/>
    <w:basedOn w:val="Normal"/>
    <w:link w:val="BodyTextIndent2Char"/>
    <w:uiPriority w:val="99"/>
    <w:rsid w:val="00E15871"/>
    <w:pPr>
      <w:spacing w:after="120" w:line="480" w:lineRule="auto"/>
      <w:ind w:left="360"/>
    </w:pPr>
    <w:rPr>
      <w:rFonts w:ascii="Times New Roman" w:eastAsia="SimSun" w:hAnsi="Times New Roman" w:cs="Times New Roman"/>
      <w:kern w:val="0"/>
      <w14:ligatures w14:val="none"/>
    </w:rPr>
  </w:style>
  <w:style w:type="character" w:customStyle="1" w:styleId="BodyTextIndent2Char">
    <w:name w:val="Body Text Indent 2 Char"/>
    <w:basedOn w:val="DefaultParagraphFont"/>
    <w:link w:val="BodyTextIndent2"/>
    <w:uiPriority w:val="99"/>
    <w:rsid w:val="00E15871"/>
    <w:rPr>
      <w:rFonts w:ascii="Times New Roman" w:eastAsia="SimSun" w:hAnsi="Times New Roman" w:cs="Times New Roman"/>
      <w:kern w:val="0"/>
      <w14:ligatures w14:val="none"/>
    </w:rPr>
  </w:style>
  <w:style w:type="paragraph" w:styleId="z-BottomofForm">
    <w:name w:val="HTML Bottom of Form"/>
    <w:basedOn w:val="Normal"/>
    <w:next w:val="Normal"/>
    <w:link w:val="z-BottomofFormChar"/>
    <w:rsid w:val="00E15871"/>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semiHidden/>
    <w:rsid w:val="00E15871"/>
    <w:rPr>
      <w:rFonts w:ascii="Arial" w:hAnsi="Arial" w:cs="Arial"/>
      <w:vanish/>
      <w:sz w:val="16"/>
      <w:szCs w:val="16"/>
    </w:rPr>
  </w:style>
  <w:style w:type="paragraph" w:styleId="Caption">
    <w:name w:val="caption"/>
    <w:basedOn w:val="Normal"/>
    <w:next w:val="Normal"/>
    <w:uiPriority w:val="35"/>
    <w:qFormat/>
    <w:rsid w:val="00E15871"/>
    <w:pPr>
      <w:spacing w:before="120" w:after="120" w:line="240" w:lineRule="auto"/>
    </w:pPr>
    <w:rPr>
      <w:rFonts w:ascii="Times New Roman" w:eastAsia="SimSun" w:hAnsi="Times New Roman" w:cs="Times New Roman"/>
      <w:b/>
      <w:bCs/>
      <w:kern w:val="0"/>
      <w:sz w:val="20"/>
      <w:szCs w:val="20"/>
      <w14:ligatures w14:val="none"/>
    </w:rPr>
  </w:style>
  <w:style w:type="paragraph" w:styleId="BodyTextIndent3">
    <w:name w:val="Body Text Indent 3"/>
    <w:basedOn w:val="Normal"/>
    <w:link w:val="BodyTextIndent3Char"/>
    <w:rsid w:val="00E15871"/>
    <w:pPr>
      <w:spacing w:after="0" w:line="480" w:lineRule="auto"/>
      <w:ind w:left="720" w:firstLine="720"/>
      <w:jc w:val="both"/>
    </w:pPr>
    <w:rPr>
      <w:rFonts w:ascii="Times New Roman" w:eastAsia="SimSun" w:hAnsi="Times New Roman" w:cs="Times New Roman"/>
      <w:bCs/>
      <w:kern w:val="0"/>
      <w14:ligatures w14:val="none"/>
    </w:rPr>
  </w:style>
  <w:style w:type="character" w:customStyle="1" w:styleId="BodyTextIndent3Char">
    <w:name w:val="Body Text Indent 3 Char"/>
    <w:basedOn w:val="DefaultParagraphFont"/>
    <w:link w:val="BodyTextIndent3"/>
    <w:rsid w:val="00E15871"/>
    <w:rPr>
      <w:rFonts w:ascii="Times New Roman" w:eastAsia="SimSun" w:hAnsi="Times New Roman" w:cs="Times New Roman"/>
      <w:bCs/>
      <w:kern w:val="0"/>
      <w14:ligatures w14:val="none"/>
    </w:rPr>
  </w:style>
  <w:style w:type="character" w:customStyle="1" w:styleId="FooterChar1">
    <w:name w:val="Footer Char1"/>
    <w:basedOn w:val="DefaultParagraphFont"/>
    <w:uiPriority w:val="99"/>
    <w:semiHidden/>
    <w:rsid w:val="00E15871"/>
    <w:rPr>
      <w:lang w:val="en-US" w:eastAsia="en-US"/>
    </w:rPr>
  </w:style>
  <w:style w:type="character" w:customStyle="1" w:styleId="HeaderChar1">
    <w:name w:val="Header Char1"/>
    <w:basedOn w:val="DefaultParagraphFont"/>
    <w:uiPriority w:val="99"/>
    <w:semiHidden/>
    <w:rsid w:val="00E15871"/>
    <w:rPr>
      <w:lang w:val="en-US" w:eastAsia="en-US"/>
    </w:rPr>
  </w:style>
  <w:style w:type="paragraph" w:styleId="FootnoteText">
    <w:name w:val="footnote text"/>
    <w:basedOn w:val="Normal"/>
    <w:link w:val="FootnoteTextChar"/>
    <w:uiPriority w:val="99"/>
    <w:rsid w:val="00E15871"/>
    <w:pPr>
      <w:spacing w:after="0" w:line="240" w:lineRule="auto"/>
    </w:pPr>
  </w:style>
  <w:style w:type="character" w:customStyle="1" w:styleId="FootnoteTextChar1">
    <w:name w:val="Footnote Text Char1"/>
    <w:basedOn w:val="DefaultParagraphFont"/>
    <w:semiHidden/>
    <w:rsid w:val="00E15871"/>
    <w:rPr>
      <w:sz w:val="20"/>
      <w:szCs w:val="20"/>
    </w:rPr>
  </w:style>
  <w:style w:type="paragraph" w:styleId="z-TopofForm">
    <w:name w:val="HTML Top of Form"/>
    <w:basedOn w:val="Normal"/>
    <w:next w:val="Normal"/>
    <w:link w:val="z-TopofFormChar"/>
    <w:rsid w:val="00E15871"/>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semiHidden/>
    <w:rsid w:val="00E15871"/>
    <w:rPr>
      <w:rFonts w:ascii="Arial" w:hAnsi="Arial" w:cs="Arial"/>
      <w:vanish/>
      <w:sz w:val="16"/>
      <w:szCs w:val="16"/>
    </w:rPr>
  </w:style>
  <w:style w:type="paragraph" w:customStyle="1" w:styleId="WW-Default">
    <w:name w:val="WW-Default"/>
    <w:rsid w:val="00E15871"/>
    <w:pPr>
      <w:suppressAutoHyphens/>
      <w:autoSpaceDE w:val="0"/>
      <w:spacing w:after="0" w:line="240" w:lineRule="auto"/>
    </w:pPr>
    <w:rPr>
      <w:rFonts w:ascii="Times New Roman" w:eastAsia="SimSun" w:hAnsi="Times New Roman" w:cs="Times New Roman"/>
      <w:color w:val="000000"/>
      <w:kern w:val="0"/>
      <w:lang w:eastAsia="ar-SA"/>
      <w14:ligatures w14:val="none"/>
    </w:rPr>
  </w:style>
  <w:style w:type="paragraph" w:customStyle="1" w:styleId="NoSpacing1">
    <w:name w:val="No Spacing1"/>
    <w:uiPriority w:val="1"/>
    <w:qFormat/>
    <w:rsid w:val="00E15871"/>
    <w:pPr>
      <w:spacing w:after="0" w:line="240" w:lineRule="auto"/>
    </w:pPr>
    <w:rPr>
      <w:rFonts w:ascii="Calibri" w:eastAsia="Calibri" w:hAnsi="Calibri" w:cs="Times New Roman"/>
      <w:kern w:val="0"/>
      <w:sz w:val="22"/>
      <w:szCs w:val="22"/>
      <w14:ligatures w14:val="none"/>
    </w:rPr>
  </w:style>
  <w:style w:type="paragraph" w:customStyle="1" w:styleId="Default">
    <w:name w:val="Default"/>
    <w:qFormat/>
    <w:rsid w:val="00E15871"/>
    <w:pPr>
      <w:autoSpaceDE w:val="0"/>
      <w:autoSpaceDN w:val="0"/>
      <w:adjustRightInd w:val="0"/>
      <w:spacing w:after="0" w:line="240" w:lineRule="auto"/>
    </w:pPr>
    <w:rPr>
      <w:rFonts w:ascii="Helvetica 45 Light" w:eastAsia="Calibri" w:hAnsi="Helvetica 45 Light" w:cs="Helvetica 45 Light"/>
      <w:color w:val="000000"/>
      <w:kern w:val="0"/>
      <w14:ligatures w14:val="none"/>
    </w:rPr>
  </w:style>
  <w:style w:type="paragraph" w:styleId="ListBullet">
    <w:name w:val="List Bullet"/>
    <w:basedOn w:val="Normal"/>
    <w:rsid w:val="00E15871"/>
    <w:pPr>
      <w:numPr>
        <w:numId w:val="1"/>
      </w:numPr>
      <w:tabs>
        <w:tab w:val="clear" w:pos="360"/>
      </w:tabs>
      <w:spacing w:after="0" w:line="240" w:lineRule="auto"/>
      <w:ind w:left="0" w:firstLine="0"/>
      <w:contextualSpacing/>
    </w:pPr>
    <w:rPr>
      <w:rFonts w:ascii="Times New Roman" w:eastAsia="SimSun" w:hAnsi="Times New Roman" w:cs="Times New Roman"/>
      <w:kern w:val="0"/>
      <w:sz w:val="20"/>
      <w:szCs w:val="20"/>
      <w14:ligatures w14:val="none"/>
    </w:rPr>
  </w:style>
  <w:style w:type="character" w:customStyle="1" w:styleId="fontstyle01">
    <w:name w:val="fontstyle01"/>
    <w:rsid w:val="00E15871"/>
    <w:rPr>
      <w:rFonts w:ascii="TimesNewRomanPSMT" w:hAnsi="TimesNewRomanPSMT" w:hint="default"/>
      <w:b w:val="0"/>
      <w:bCs w:val="0"/>
      <w:i w:val="0"/>
      <w:iCs w:val="0"/>
      <w:color w:val="060404"/>
      <w:sz w:val="28"/>
      <w:szCs w:val="28"/>
    </w:rPr>
  </w:style>
  <w:style w:type="paragraph" w:customStyle="1" w:styleId="ssc">
    <w:name w:val="ssc"/>
    <w:basedOn w:val="Normal"/>
    <w:rsid w:val="00E15871"/>
    <w:pPr>
      <w:spacing w:before="100" w:beforeAutospacing="1" w:after="100" w:afterAutospacing="1" w:line="240" w:lineRule="auto"/>
    </w:pPr>
    <w:rPr>
      <w:rFonts w:ascii="Times New Roman" w:eastAsia="Times New Roman" w:hAnsi="Times New Roman" w:cs="Times New Roman"/>
      <w:kern w:val="0"/>
      <w:lang w:val="en-PH" w:eastAsia="en-PH"/>
      <w14:ligatures w14:val="none"/>
    </w:rPr>
  </w:style>
  <w:style w:type="numbering" w:customStyle="1" w:styleId="NoList1">
    <w:name w:val="No List1"/>
    <w:next w:val="NoList"/>
    <w:uiPriority w:val="99"/>
    <w:semiHidden/>
    <w:unhideWhenUsed/>
    <w:rsid w:val="00E15871"/>
  </w:style>
  <w:style w:type="table" w:customStyle="1" w:styleId="TableGrid23">
    <w:name w:val="Table Grid23"/>
    <w:basedOn w:val="TableNormal"/>
    <w:next w:val="TableGrid"/>
    <w:uiPriority w:val="39"/>
    <w:qFormat/>
    <w:rsid w:val="00E15871"/>
    <w:pPr>
      <w:spacing w:after="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40EF4"/>
    <w:pPr>
      <w:spacing w:after="0" w:line="240" w:lineRule="auto"/>
    </w:pPr>
    <w:rPr>
      <w:rFonts w:eastAsiaTheme="minorEastAsia"/>
      <w:color w:val="2F5496" w:themeColor="accent1" w:themeShade="BF"/>
      <w:kern w:val="0"/>
      <w:sz w:val="22"/>
      <w:szCs w:val="22"/>
      <w14:ligatures w14:val="none"/>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IntenseEmphasis1">
    <w:name w:val="Intense Emphasis1"/>
    <w:basedOn w:val="DefaultParagraphFont"/>
    <w:uiPriority w:val="21"/>
    <w:qFormat/>
    <w:rsid w:val="00240EF4"/>
    <w:rPr>
      <w:i/>
      <w:iCs/>
      <w:color w:val="2F5496" w:themeColor="accent1" w:themeShade="BF"/>
    </w:rPr>
  </w:style>
  <w:style w:type="character" w:customStyle="1" w:styleId="IntenseReference1">
    <w:name w:val="Intense Reference1"/>
    <w:basedOn w:val="DefaultParagraphFont"/>
    <w:uiPriority w:val="32"/>
    <w:qFormat/>
    <w:rsid w:val="00240EF4"/>
    <w:rPr>
      <w:b/>
      <w:bCs/>
      <w:smallCaps/>
      <w:color w:val="2F5496" w:themeColor="accent1" w:themeShade="BF"/>
      <w:spacing w:val="5"/>
    </w:rPr>
  </w:style>
  <w:style w:type="character" w:customStyle="1" w:styleId="apple-tab-span">
    <w:name w:val="apple-tab-span"/>
    <w:basedOn w:val="DefaultParagraphFont"/>
    <w:rsid w:val="00240EF4"/>
  </w:style>
  <w:style w:type="character" w:customStyle="1" w:styleId="whitespace-normal">
    <w:name w:val="whitespace-normal"/>
    <w:basedOn w:val="DefaultParagraphFont"/>
    <w:rsid w:val="00240EF4"/>
  </w:style>
  <w:style w:type="paragraph" w:customStyle="1" w:styleId="DecimalAligned">
    <w:name w:val="Decimal Aligned"/>
    <w:basedOn w:val="Normal"/>
    <w:uiPriority w:val="40"/>
    <w:qFormat/>
    <w:rsid w:val="00240EF4"/>
    <w:pPr>
      <w:tabs>
        <w:tab w:val="decimal" w:pos="360"/>
      </w:tabs>
      <w:spacing w:after="200" w:line="276" w:lineRule="auto"/>
    </w:pPr>
    <w:rPr>
      <w:rFonts w:eastAsiaTheme="minorEastAsia" w:cs="Times New Roman"/>
      <w:kern w:val="0"/>
      <w:sz w:val="22"/>
      <w:szCs w:val="22"/>
      <w14:ligatures w14:val="none"/>
    </w:rPr>
  </w:style>
  <w:style w:type="character" w:customStyle="1" w:styleId="SubtleEmphasis1">
    <w:name w:val="Subtle Emphasis1"/>
    <w:basedOn w:val="DefaultParagraphFont"/>
    <w:uiPriority w:val="19"/>
    <w:qFormat/>
    <w:rsid w:val="00240EF4"/>
    <w:rPr>
      <w:i/>
      <w:iCs/>
    </w:rPr>
  </w:style>
  <w:style w:type="table" w:customStyle="1" w:styleId="ListTable7Colorful1">
    <w:name w:val="List Table 7 Colorful1"/>
    <w:basedOn w:val="TableNormal"/>
    <w:uiPriority w:val="52"/>
    <w:rsid w:val="00240EF4"/>
    <w:pPr>
      <w:spacing w:after="0" w:line="240" w:lineRule="auto"/>
    </w:pPr>
    <w:rPr>
      <w:color w:val="000000" w:themeColor="text1"/>
      <w:kern w:val="0"/>
      <w:sz w:val="20"/>
      <w:szCs w:val="20"/>
      <w14:ligatures w14:val="none"/>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2">
    <w:name w:val="No List2"/>
    <w:next w:val="NoList"/>
    <w:uiPriority w:val="99"/>
    <w:semiHidden/>
    <w:unhideWhenUsed/>
    <w:rsid w:val="003C7043"/>
  </w:style>
  <w:style w:type="character" w:customStyle="1" w:styleId="citation-137">
    <w:name w:val="citation-137"/>
    <w:basedOn w:val="DefaultParagraphFont"/>
    <w:rsid w:val="003C7043"/>
  </w:style>
  <w:style w:type="character" w:customStyle="1" w:styleId="citation-136">
    <w:name w:val="citation-136"/>
    <w:basedOn w:val="DefaultParagraphFont"/>
    <w:rsid w:val="003C7043"/>
  </w:style>
  <w:style w:type="character" w:customStyle="1" w:styleId="citation-135">
    <w:name w:val="citation-135"/>
    <w:basedOn w:val="DefaultParagraphFont"/>
    <w:rsid w:val="003C7043"/>
  </w:style>
  <w:style w:type="character" w:customStyle="1" w:styleId="citation-134">
    <w:name w:val="citation-134"/>
    <w:basedOn w:val="DefaultParagraphFont"/>
    <w:rsid w:val="003C7043"/>
  </w:style>
  <w:style w:type="character" w:customStyle="1" w:styleId="citation-133">
    <w:name w:val="citation-133"/>
    <w:basedOn w:val="DefaultParagraphFont"/>
    <w:rsid w:val="003C7043"/>
  </w:style>
  <w:style w:type="character" w:customStyle="1" w:styleId="citation-132">
    <w:name w:val="citation-132"/>
    <w:basedOn w:val="DefaultParagraphFont"/>
    <w:rsid w:val="003C7043"/>
  </w:style>
  <w:style w:type="table" w:customStyle="1" w:styleId="TableGrid24">
    <w:name w:val="Table Grid24"/>
    <w:basedOn w:val="TableNormal"/>
    <w:next w:val="TableGrid"/>
    <w:uiPriority w:val="39"/>
    <w:rsid w:val="003C7043"/>
    <w:pPr>
      <w:spacing w:after="0" w:line="240" w:lineRule="auto"/>
    </w:pPr>
    <w:rPr>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99"/>
    <w:rsid w:val="003C7043"/>
    <w:pPr>
      <w:spacing w:after="0" w:line="240" w:lineRule="auto"/>
    </w:pPr>
    <w:rPr>
      <w:rFonts w:ascii="Times New Roman" w:eastAsia="Times New Roman" w:hAnsi="Times New Roman" w:cs="Times New Roman"/>
      <w:kern w:val="0"/>
      <w:sz w:val="20"/>
      <w:szCs w:val="20"/>
      <w:lang w:val="en-PH" w:eastAsia="en-PH"/>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8443CA"/>
    <w:pPr>
      <w:spacing w:after="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403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575F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6">
    <w:name w:val="Table Grid26"/>
    <w:basedOn w:val="TableNormal"/>
    <w:next w:val="TableGrid"/>
    <w:uiPriority w:val="59"/>
    <w:qFormat/>
    <w:rsid w:val="000A53C6"/>
    <w:pPr>
      <w:spacing w:after="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B84533"/>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qFormat/>
    <w:rsid w:val="00DB0D1A"/>
    <w:pPr>
      <w:spacing w:after="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qFormat/>
    <w:rsid w:val="00C32AE7"/>
    <w:pPr>
      <w:spacing w:after="0" w:line="240" w:lineRule="auto"/>
    </w:pPr>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qFormat/>
    <w:rsid w:val="00ED188C"/>
    <w:pPr>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qFormat/>
    <w:rsid w:val="00CD17CF"/>
    <w:pPr>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qFormat/>
    <w:rsid w:val="00D57D82"/>
    <w:pPr>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qFormat/>
    <w:rsid w:val="00D57D82"/>
    <w:pPr>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F171EB"/>
    <w:pPr>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qFormat/>
    <w:rsid w:val="009218E9"/>
    <w:pPr>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qFormat/>
    <w:rsid w:val="0084222B"/>
    <w:pPr>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qFormat/>
    <w:rsid w:val="00AA2B94"/>
    <w:pPr>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qFormat/>
    <w:rsid w:val="002160FD"/>
    <w:pPr>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qFormat/>
    <w:rsid w:val="00446A25"/>
    <w:pPr>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qFormat/>
    <w:rsid w:val="0045407D"/>
    <w:pPr>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qFormat/>
    <w:rsid w:val="003C239A"/>
    <w:pPr>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qFormat/>
    <w:rsid w:val="000635F4"/>
    <w:pPr>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0635F4"/>
    <w:pPr>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qFormat/>
    <w:rsid w:val="007B508F"/>
    <w:pPr>
      <w:spacing w:after="0" w:line="240" w:lineRule="auto"/>
    </w:pPr>
    <w:rPr>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5921D4"/>
    <w:pPr>
      <w:spacing w:after="0" w:line="240" w:lineRule="auto"/>
    </w:pPr>
    <w:rPr>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55D18"/>
    <w:pPr>
      <w:spacing w:after="0" w:line="240" w:lineRule="auto"/>
    </w:pPr>
    <w:rPr>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qFormat/>
    <w:rsid w:val="007C0C49"/>
    <w:pPr>
      <w:spacing w:after="0" w:line="240" w:lineRule="auto"/>
    </w:pPr>
    <w:rPr>
      <w:rFonts w:ascii="Calibri" w:eastAsia="Calibri" w:hAnsi="Calibri" w:cs="SimSun"/>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15AAA"/>
  </w:style>
  <w:style w:type="table" w:customStyle="1" w:styleId="TableGrid46">
    <w:name w:val="Table Grid46"/>
    <w:basedOn w:val="TableNormal"/>
    <w:next w:val="TableGrid"/>
    <w:uiPriority w:val="39"/>
    <w:qFormat/>
    <w:rsid w:val="00815AAA"/>
    <w:pPr>
      <w:widowControl w:val="0"/>
      <w:autoSpaceDE w:val="0"/>
      <w:autoSpaceDN w:val="0"/>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qFormat/>
    <w:rsid w:val="00815AAA"/>
    <w:pPr>
      <w:spacing w:after="0" w:line="240" w:lineRule="auto"/>
    </w:pPr>
    <w:rPr>
      <w:color w:val="000000"/>
      <w:kern w:val="0"/>
      <w:sz w:val="20"/>
      <w:szCs w:val="20"/>
      <w:lang w:val="en-PH" w:eastAsia="en-PH"/>
      <w14:ligatures w14:val="none"/>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47">
    <w:name w:val="Table Grid47"/>
    <w:basedOn w:val="TableNormal"/>
    <w:next w:val="TableGrid"/>
    <w:uiPriority w:val="39"/>
    <w:rsid w:val="007846D3"/>
    <w:pPr>
      <w:suppressAutoHyphens/>
      <w:spacing w:after="0" w:line="240" w:lineRule="auto"/>
      <w:ind w:leftChars="-1" w:left="-1" w:hangingChars="1" w:hanging="1"/>
      <w:textDirection w:val="btLr"/>
      <w:textAlignment w:val="top"/>
      <w:outlineLvl w:val="0"/>
    </w:pPr>
    <w:rPr>
      <w:rFonts w:ascii="Calibri" w:eastAsia="Calibri" w:hAnsi="Calibri" w:cs="Calibri"/>
      <w:kern w:val="0"/>
      <w:position w:val="-1"/>
      <w:sz w:val="22"/>
      <w:szCs w:val="22"/>
      <w:lang w:val="en-PH"/>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7846D3"/>
    <w:pPr>
      <w:spacing w:line="259" w:lineRule="auto"/>
    </w:pPr>
    <w:rPr>
      <w:rFonts w:ascii="Calibri" w:eastAsia="Calibri" w:hAnsi="Calibri" w:cs="Calibri"/>
      <w:kern w:val="0"/>
      <w:sz w:val="22"/>
      <w:szCs w:val="22"/>
      <w:lang w:val="en-PH"/>
      <w14:ligatures w14:val="none"/>
    </w:rPr>
    <w:tblPr>
      <w:tblStyleRowBandSize w:val="1"/>
      <w:tblStyleColBandSize w:val="1"/>
      <w:tblCellMar>
        <w:left w:w="115" w:type="dxa"/>
        <w:right w:w="115" w:type="dxa"/>
      </w:tblCellMar>
    </w:tblPr>
  </w:style>
  <w:style w:type="table" w:customStyle="1" w:styleId="TableGrid48">
    <w:name w:val="Table Grid48"/>
    <w:basedOn w:val="TableNormal"/>
    <w:next w:val="TableGrid"/>
    <w:uiPriority w:val="59"/>
    <w:qFormat/>
    <w:rsid w:val="002B5424"/>
    <w:pPr>
      <w:spacing w:after="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qFormat/>
    <w:rsid w:val="00A4712C"/>
    <w:pPr>
      <w:widowControl w:val="0"/>
      <w:spacing w:after="0" w:line="240" w:lineRule="auto"/>
      <w:jc w:val="both"/>
    </w:pPr>
    <w:rPr>
      <w:rFonts w:ascii="Times New Roman" w:eastAsia="SimSun" w:hAnsi="Times New Roman"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A7875"/>
    <w:pPr>
      <w:spacing w:after="0" w:line="240" w:lineRule="auto"/>
    </w:pPr>
    <w:rPr>
      <w:rFonts w:ascii="Calibri" w:eastAsia="Calibri" w:hAnsi="Calibri" w:cs="Times New Roman"/>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7875"/>
    <w:pPr>
      <w:spacing w:after="0" w:line="240" w:lineRule="auto"/>
    </w:pPr>
    <w:rPr>
      <w:rFonts w:ascii="Calibri" w:eastAsia="Calibri" w:hAnsi="Calibri"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2A7875"/>
    <w:pPr>
      <w:spacing w:after="0" w:line="240" w:lineRule="auto"/>
    </w:pPr>
    <w:rPr>
      <w:rFonts w:ascii="Calibri" w:eastAsia="Calibri" w:hAnsi="Calibri" w:cs="Times New Roman"/>
      <w:kern w:val="0"/>
      <w:sz w:val="20"/>
      <w:szCs w:val="20"/>
      <w14:ligatures w14:val="none"/>
    </w:rPr>
    <w:tblPr>
      <w:tblStyleRowBandSize w:val="1"/>
      <w:tblStyleColBandSize w:val="1"/>
    </w:tblPr>
    <w:tblStylePr w:type="firstRow">
      <w:rPr>
        <w:rFonts w:ascii="DengXian Light" w:eastAsia="Times New Roman" w:hAnsi="DengXian Light" w:cs="Times New Roman"/>
        <w:i/>
        <w:iCs/>
        <w:sz w:val="26"/>
      </w:rPr>
      <w:tblPr/>
      <w:tcPr>
        <w:tcBorders>
          <w:bottom w:val="single" w:sz="4" w:space="0" w:color="7F7F7F"/>
        </w:tcBorders>
        <w:shd w:val="clear" w:color="auto" w:fill="FFFFFF"/>
      </w:tcPr>
    </w:tblStylePr>
    <w:tblStylePr w:type="lastRow">
      <w:rPr>
        <w:rFonts w:ascii="DengXian Light" w:eastAsia="Times New Roman" w:hAnsi="DengXian Light" w:cs="Times New Roman"/>
        <w:i/>
        <w:iCs/>
        <w:sz w:val="26"/>
      </w:rPr>
      <w:tblPr/>
      <w:tcPr>
        <w:tcBorders>
          <w:top w:val="single" w:sz="4" w:space="0" w:color="7F7F7F"/>
        </w:tcBorders>
        <w:shd w:val="clear" w:color="auto" w:fill="FFFFFF"/>
      </w:tcPr>
    </w:tblStylePr>
    <w:tblStylePr w:type="firstCol">
      <w:pPr>
        <w:jc w:val="right"/>
      </w:pPr>
      <w:rPr>
        <w:rFonts w:ascii="DengXian Light" w:eastAsia="Times New Roman" w:hAnsi="DengXian Light" w:cs="Times New Roman"/>
        <w:i/>
        <w:iCs/>
        <w:sz w:val="26"/>
      </w:rPr>
      <w:tblPr/>
      <w:tcPr>
        <w:tcBorders>
          <w:right w:val="single" w:sz="4" w:space="0" w:color="7F7F7F"/>
        </w:tcBorders>
        <w:shd w:val="clear" w:color="auto" w:fill="FFFFFF"/>
      </w:tcPr>
    </w:tblStylePr>
    <w:tblStylePr w:type="lastCol">
      <w:rPr>
        <w:rFonts w:ascii="DengXian Light" w:eastAsia="Times New Roman" w:hAnsi="DengXian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2A7875"/>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PlainTable1">
    <w:name w:val="Plain Table 1"/>
    <w:basedOn w:val="TableNormal"/>
    <w:uiPriority w:val="41"/>
    <w:rsid w:val="002A7875"/>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basedOn w:val="DefaultParagraphFont"/>
    <w:uiPriority w:val="99"/>
    <w:unhideWhenUsed/>
    <w:rsid w:val="002A7875"/>
    <w:rPr>
      <w:color w:val="954F72" w:themeColor="followedHyperlink"/>
      <w:u w:val="single"/>
    </w:rPr>
  </w:style>
  <w:style w:type="table" w:customStyle="1" w:styleId="TableGrid50">
    <w:name w:val="Table Grid50"/>
    <w:basedOn w:val="TableNormal"/>
    <w:next w:val="TableGrid"/>
    <w:uiPriority w:val="59"/>
    <w:qFormat/>
    <w:rsid w:val="00FD725E"/>
    <w:pPr>
      <w:spacing w:after="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C43CF7"/>
    <w:pPr>
      <w:spacing w:line="240" w:lineRule="auto"/>
    </w:pPr>
    <w:rPr>
      <w:kern w:val="0"/>
      <w:sz w:val="20"/>
      <w:szCs w:val="20"/>
      <w:lang w:val="en-PH"/>
      <w14:ligatures w14:val="none"/>
    </w:rPr>
  </w:style>
  <w:style w:type="character" w:customStyle="1" w:styleId="CommentTextChar">
    <w:name w:val="Comment Text Char"/>
    <w:basedOn w:val="DefaultParagraphFont"/>
    <w:link w:val="CommentText"/>
    <w:rsid w:val="00C43CF7"/>
    <w:rPr>
      <w:kern w:val="0"/>
      <w:sz w:val="20"/>
      <w:szCs w:val="20"/>
      <w:lang w:val="en-PH"/>
      <w14:ligatures w14:val="none"/>
    </w:rPr>
  </w:style>
  <w:style w:type="character" w:customStyle="1" w:styleId="UnresolvedMention3">
    <w:name w:val="Unresolved Mention3"/>
    <w:basedOn w:val="DefaultParagraphFont"/>
    <w:uiPriority w:val="99"/>
    <w:semiHidden/>
    <w:unhideWhenUsed/>
    <w:rsid w:val="003C4494"/>
    <w:rPr>
      <w:color w:val="605E5C"/>
      <w:shd w:val="clear" w:color="auto" w:fill="E1DFDD"/>
    </w:rPr>
  </w:style>
  <w:style w:type="numbering" w:customStyle="1" w:styleId="NoList4">
    <w:name w:val="No List4"/>
    <w:next w:val="NoList"/>
    <w:uiPriority w:val="99"/>
    <w:semiHidden/>
    <w:unhideWhenUsed/>
    <w:rsid w:val="006B3476"/>
  </w:style>
  <w:style w:type="table" w:customStyle="1" w:styleId="TableGrid51">
    <w:name w:val="Table Grid51"/>
    <w:basedOn w:val="TableNormal"/>
    <w:next w:val="TableGrid"/>
    <w:uiPriority w:val="39"/>
    <w:qFormat/>
    <w:rsid w:val="005D51CE"/>
    <w:pPr>
      <w:spacing w:after="0" w:line="240" w:lineRule="auto"/>
    </w:pPr>
    <w:rPr>
      <w:rFonts w:ascii="Calibri" w:eastAsia="Calibri" w:hAnsi="Calibri" w:cs="Calibri"/>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890941"/>
    <w:pPr>
      <w:spacing w:after="0" w:line="240" w:lineRule="auto"/>
    </w:pPr>
    <w:rPr>
      <w:rFonts w:ascii="Calibri" w:eastAsia="Calibri" w:hAnsi="Calibri" w:cs="Calibri"/>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BF15E0"/>
    <w:pPr>
      <w:spacing w:after="0" w:line="240" w:lineRule="auto"/>
    </w:pPr>
    <w:rPr>
      <w:rFonts w:ascii="Calibri" w:eastAsia="Calibri" w:hAnsi="Calibri" w:cs="Calibri"/>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C3727"/>
  </w:style>
  <w:style w:type="table" w:customStyle="1" w:styleId="TableGrid54">
    <w:name w:val="Table Grid54"/>
    <w:basedOn w:val="TableNormal"/>
    <w:next w:val="TableGrid"/>
    <w:uiPriority w:val="39"/>
    <w:qFormat/>
    <w:rsid w:val="003C3727"/>
    <w:pPr>
      <w:spacing w:after="0" w:line="240" w:lineRule="auto"/>
    </w:pPr>
    <w:rPr>
      <w:rFonts w:ascii="Calibri" w:eastAsia="Calibri" w:hAnsi="Calibri" w:cs="Calibri"/>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qFormat/>
    <w:rsid w:val="003C3727"/>
    <w:pPr>
      <w:spacing w:after="0" w:line="240" w:lineRule="auto"/>
    </w:pPr>
    <w:rPr>
      <w:rFonts w:ascii="Calibri" w:eastAsia="Calibri" w:hAnsi="Calibri" w:cs="Calibri"/>
      <w:kern w:val="0"/>
      <w:sz w:val="22"/>
      <w:szCs w:val="22"/>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uiPriority w:val="59"/>
    <w:qFormat/>
    <w:rsid w:val="003C3727"/>
    <w:pPr>
      <w:spacing w:after="0" w:line="240" w:lineRule="auto"/>
    </w:pPr>
    <w:rPr>
      <w:rFonts w:ascii="Calibri" w:eastAsia="Calibri" w:hAnsi="Calibri" w:cs="Calibri"/>
      <w:kern w:val="0"/>
      <w:sz w:val="22"/>
      <w:szCs w:val="22"/>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1"/>
    <w:qFormat/>
    <w:locked/>
    <w:rsid w:val="003C3727"/>
  </w:style>
  <w:style w:type="paragraph" w:customStyle="1" w:styleId="ListParagraph1">
    <w:name w:val="List Paragraph1"/>
    <w:basedOn w:val="Normal"/>
    <w:qFormat/>
    <w:rsid w:val="003C3727"/>
    <w:pPr>
      <w:spacing w:after="200" w:line="276" w:lineRule="auto"/>
      <w:ind w:left="720"/>
      <w:contextualSpacing/>
    </w:pPr>
    <w:rPr>
      <w:kern w:val="0"/>
      <w:sz w:val="22"/>
      <w:szCs w:val="22"/>
      <w14:ligatures w14:val="none"/>
    </w:rPr>
  </w:style>
  <w:style w:type="character" w:customStyle="1" w:styleId="BookTitle1">
    <w:name w:val="Book Title1"/>
    <w:basedOn w:val="DefaultParagraphFont"/>
    <w:uiPriority w:val="33"/>
    <w:qFormat/>
    <w:rsid w:val="003C3727"/>
    <w:rPr>
      <w:b/>
      <w:bCs/>
      <w:i/>
      <w:iCs/>
      <w:spacing w:val="5"/>
    </w:rPr>
  </w:style>
  <w:style w:type="paragraph" w:customStyle="1" w:styleId="epfieldpara">
    <w:name w:val="ep_field_para"/>
    <w:basedOn w:val="Normal"/>
    <w:uiPriority w:val="99"/>
    <w:qFormat/>
    <w:rsid w:val="003C3727"/>
    <w:pPr>
      <w:spacing w:before="100" w:beforeAutospacing="1" w:after="100" w:afterAutospacing="1" w:line="240" w:lineRule="auto"/>
    </w:pPr>
    <w:rPr>
      <w:rFonts w:ascii="Times New Roman" w:eastAsia="Times New Roman" w:hAnsi="Times New Roman" w:cs="Times New Roman"/>
      <w:kern w:val="0"/>
      <w:lang w:val="en-PH" w:eastAsia="en-PH"/>
      <w14:ligatures w14:val="none"/>
    </w:rPr>
  </w:style>
  <w:style w:type="character" w:customStyle="1" w:styleId="sr-only">
    <w:name w:val="sr-only"/>
    <w:basedOn w:val="DefaultParagraphFont"/>
    <w:qFormat/>
    <w:rsid w:val="003C3727"/>
  </w:style>
  <w:style w:type="table" w:customStyle="1" w:styleId="TableGridLight1">
    <w:name w:val="Table Grid Light1"/>
    <w:basedOn w:val="TableNormal"/>
    <w:uiPriority w:val="40"/>
    <w:qFormat/>
    <w:rsid w:val="003C3727"/>
    <w:pPr>
      <w:spacing w:after="0" w:line="240" w:lineRule="auto"/>
    </w:pPr>
    <w:rPr>
      <w:rFonts w:ascii="Times New Roman" w:eastAsia="SimSu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sonormal0">
    <w:name w:val="msonormal"/>
    <w:basedOn w:val="Normal"/>
    <w:qFormat/>
    <w:rsid w:val="003C3727"/>
    <w:pPr>
      <w:spacing w:before="100" w:beforeAutospacing="1" w:after="100" w:afterAutospacing="1" w:line="240" w:lineRule="auto"/>
    </w:pPr>
    <w:rPr>
      <w:rFonts w:ascii="Times New Roman" w:eastAsia="Times New Roman" w:hAnsi="Times New Roman" w:cs="Times New Roman"/>
      <w:kern w:val="0"/>
      <w:lang w:val="en-PH" w:eastAsia="en-PH"/>
      <w14:ligatures w14:val="none"/>
    </w:rPr>
  </w:style>
  <w:style w:type="paragraph" w:customStyle="1" w:styleId="msolistparagraph0">
    <w:name w:val="msolistparagraph"/>
    <w:qFormat/>
    <w:rsid w:val="003C3727"/>
    <w:pPr>
      <w:spacing w:line="256" w:lineRule="auto"/>
      <w:ind w:left="720"/>
      <w:contextualSpacing/>
    </w:pPr>
    <w:rPr>
      <w:rFonts w:ascii="Calibri" w:eastAsia="Calibri" w:hAnsi="Calibri" w:cs="Times New Roman" w:hint="eastAsia"/>
      <w:sz w:val="22"/>
      <w:szCs w:val="22"/>
      <w:lang w:eastAsia="zh-CN"/>
      <w14:ligatures w14:val="none"/>
    </w:rPr>
  </w:style>
  <w:style w:type="paragraph" w:customStyle="1" w:styleId="msonospacing0">
    <w:name w:val="msonospacing"/>
    <w:rsid w:val="003C3727"/>
    <w:pPr>
      <w:spacing w:after="0" w:line="240" w:lineRule="auto"/>
    </w:pPr>
    <w:rPr>
      <w:rFonts w:ascii="Calibri" w:eastAsia="Calibri" w:hAnsi="Calibri" w:cs="Times New Roman" w:hint="eastAsia"/>
      <w:sz w:val="22"/>
      <w:szCs w:val="22"/>
      <w:lang w:eastAsia="zh-CN"/>
      <w14:ligatures w14:val="none"/>
    </w:rPr>
  </w:style>
  <w:style w:type="character" w:styleId="CommentReference">
    <w:name w:val="annotation reference"/>
    <w:basedOn w:val="DefaultParagraphFont"/>
    <w:semiHidden/>
    <w:unhideWhenUsed/>
    <w:rsid w:val="003C3727"/>
    <w:rPr>
      <w:sz w:val="16"/>
      <w:szCs w:val="16"/>
    </w:rPr>
  </w:style>
  <w:style w:type="paragraph" w:customStyle="1" w:styleId="CommentSubject1">
    <w:name w:val="Comment Subject1"/>
    <w:basedOn w:val="CommentText"/>
    <w:next w:val="CommentText"/>
    <w:uiPriority w:val="99"/>
    <w:semiHidden/>
    <w:unhideWhenUsed/>
    <w:rsid w:val="003C3727"/>
    <w:rPr>
      <w:b/>
      <w:bCs/>
      <w:kern w:val="2"/>
      <w14:ligatures w14:val="standardContextual"/>
    </w:rPr>
  </w:style>
  <w:style w:type="character" w:customStyle="1" w:styleId="CommentSubjectChar">
    <w:name w:val="Comment Subject Char"/>
    <w:basedOn w:val="CommentTextChar"/>
    <w:link w:val="CommentSubject"/>
    <w:semiHidden/>
    <w:rsid w:val="003C3727"/>
    <w:rPr>
      <w:rFonts w:ascii="Calibri" w:eastAsia="Calibri" w:hAnsi="Calibri" w:cs="Times New Roman"/>
      <w:b/>
      <w:bCs/>
      <w:kern w:val="2"/>
      <w:sz w:val="20"/>
      <w:szCs w:val="20"/>
      <w:lang w:val="en-PH" w:eastAsia="en-US"/>
      <w14:ligatures w14:val="standardContextual"/>
    </w:rPr>
  </w:style>
  <w:style w:type="table" w:customStyle="1" w:styleId="TableGrid0">
    <w:name w:val="TableGrid"/>
    <w:rsid w:val="003C3727"/>
    <w:pPr>
      <w:spacing w:after="0" w:line="240" w:lineRule="auto"/>
    </w:pPr>
    <w:rPr>
      <w:rFonts w:eastAsia="DengXian"/>
      <w:lang w:val="en-PH" w:eastAsia="en-PH"/>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semiHidden/>
    <w:unhideWhenUsed/>
    <w:rsid w:val="003C3727"/>
    <w:rPr>
      <w:rFonts w:ascii="Calibri" w:eastAsia="Calibri" w:hAnsi="Calibri" w:cs="Times New Roman"/>
      <w:b/>
      <w:bCs/>
      <w:kern w:val="2"/>
      <w14:ligatures w14:val="standardContextual"/>
    </w:rPr>
  </w:style>
  <w:style w:type="character" w:customStyle="1" w:styleId="CommentSubjectChar1">
    <w:name w:val="Comment Subject Char1"/>
    <w:basedOn w:val="CommentTextChar"/>
    <w:uiPriority w:val="99"/>
    <w:semiHidden/>
    <w:rsid w:val="003C3727"/>
    <w:rPr>
      <w:b/>
      <w:bCs/>
      <w:kern w:val="0"/>
      <w:sz w:val="20"/>
      <w:szCs w:val="20"/>
      <w:lang w:val="en-PH"/>
      <w14:ligatures w14:val="none"/>
    </w:rPr>
  </w:style>
  <w:style w:type="numbering" w:customStyle="1" w:styleId="NoList6">
    <w:name w:val="No List6"/>
    <w:next w:val="NoList"/>
    <w:uiPriority w:val="99"/>
    <w:semiHidden/>
    <w:unhideWhenUsed/>
    <w:rsid w:val="006C651F"/>
  </w:style>
  <w:style w:type="table" w:customStyle="1" w:styleId="TableGrid55">
    <w:name w:val="Table Grid55"/>
    <w:basedOn w:val="TableNormal"/>
    <w:next w:val="TableGrid"/>
    <w:uiPriority w:val="39"/>
    <w:qFormat/>
    <w:rsid w:val="006C651F"/>
    <w:pPr>
      <w:spacing w:after="0" w:line="240" w:lineRule="auto"/>
    </w:pPr>
    <w:rPr>
      <w:rFonts w:ascii="Calibri" w:eastAsia="Calibri" w:hAnsi="Calibri" w:cs="Calibri"/>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59"/>
    <w:qFormat/>
    <w:rsid w:val="006C651F"/>
    <w:pPr>
      <w:spacing w:after="0" w:line="240" w:lineRule="auto"/>
    </w:pPr>
    <w:rPr>
      <w:rFonts w:ascii="Calibri" w:eastAsia="Calibri" w:hAnsi="Calibri" w:cs="Calibri"/>
      <w:kern w:val="0"/>
      <w:sz w:val="22"/>
      <w:szCs w:val="22"/>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uiPriority w:val="59"/>
    <w:qFormat/>
    <w:rsid w:val="006C651F"/>
    <w:pPr>
      <w:spacing w:after="0" w:line="240" w:lineRule="auto"/>
    </w:pPr>
    <w:rPr>
      <w:rFonts w:ascii="Calibri" w:eastAsia="Calibri" w:hAnsi="Calibri" w:cs="Calibri"/>
      <w:kern w:val="0"/>
      <w:sz w:val="22"/>
      <w:szCs w:val="22"/>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1">
    <w:name w:val="Table Grid Light11"/>
    <w:basedOn w:val="TableNormal"/>
    <w:uiPriority w:val="40"/>
    <w:qFormat/>
    <w:rsid w:val="006C651F"/>
    <w:pPr>
      <w:spacing w:after="0" w:line="240" w:lineRule="auto"/>
    </w:pPr>
    <w:rPr>
      <w:rFonts w:ascii="Times New Roman" w:eastAsia="SimSu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a">
    <w:name w:val="TableGrid1"/>
    <w:rsid w:val="006C651F"/>
    <w:pPr>
      <w:spacing w:after="0" w:line="240" w:lineRule="auto"/>
    </w:pPr>
    <w:rPr>
      <w:rFonts w:eastAsia="DengXian"/>
      <w:lang w:val="en-PH" w:eastAsia="en-PH"/>
    </w:rPr>
    <w:tblPr>
      <w:tblCellMar>
        <w:top w:w="0" w:type="dxa"/>
        <w:left w:w="0" w:type="dxa"/>
        <w:bottom w:w="0" w:type="dxa"/>
        <w:right w:w="0" w:type="dxa"/>
      </w:tblCellMar>
    </w:tblPr>
  </w:style>
  <w:style w:type="numbering" w:customStyle="1" w:styleId="NoList7">
    <w:name w:val="No List7"/>
    <w:next w:val="NoList"/>
    <w:uiPriority w:val="99"/>
    <w:semiHidden/>
    <w:unhideWhenUsed/>
    <w:rsid w:val="009A1EBB"/>
  </w:style>
  <w:style w:type="table" w:customStyle="1" w:styleId="TableNormal0">
    <w:name w:val="TableNormal"/>
    <w:rsid w:val="009A1EBB"/>
    <w:pPr>
      <w:spacing w:line="259" w:lineRule="auto"/>
    </w:pPr>
    <w:rPr>
      <w:rFonts w:ascii="Calibri" w:eastAsia="Calibri" w:hAnsi="Calibri" w:cs="Calibri"/>
      <w:kern w:val="0"/>
      <w:sz w:val="22"/>
      <w:szCs w:val="22"/>
      <w:lang w:val="en-PH"/>
      <w14:ligatures w14:val="none"/>
    </w:rPr>
    <w:tblPr>
      <w:tblCellMar>
        <w:top w:w="100" w:type="dxa"/>
        <w:left w:w="100" w:type="dxa"/>
        <w:bottom w:w="100" w:type="dxa"/>
        <w:right w:w="100" w:type="dxa"/>
      </w:tblCellMar>
    </w:tblPr>
  </w:style>
  <w:style w:type="numbering" w:customStyle="1" w:styleId="NoList8">
    <w:name w:val="No List8"/>
    <w:next w:val="NoList"/>
    <w:uiPriority w:val="99"/>
    <w:semiHidden/>
    <w:unhideWhenUsed/>
    <w:rsid w:val="0088177A"/>
  </w:style>
  <w:style w:type="character" w:customStyle="1" w:styleId="u-custom-list-number">
    <w:name w:val="u-custom-list-number"/>
    <w:basedOn w:val="DefaultParagraphFont"/>
    <w:qFormat/>
    <w:rsid w:val="0088177A"/>
  </w:style>
  <w:style w:type="character" w:styleId="PlaceholderText">
    <w:name w:val="Placeholder Text"/>
    <w:basedOn w:val="DefaultParagraphFont"/>
    <w:uiPriority w:val="99"/>
    <w:semiHidden/>
    <w:qFormat/>
    <w:rsid w:val="0088177A"/>
    <w:rPr>
      <w:color w:val="808080"/>
    </w:rPr>
  </w:style>
  <w:style w:type="character" w:customStyle="1" w:styleId="relative">
    <w:name w:val="relative"/>
    <w:basedOn w:val="DefaultParagraphFont"/>
    <w:qFormat/>
    <w:rsid w:val="0088177A"/>
  </w:style>
  <w:style w:type="character" w:customStyle="1" w:styleId="max-w-full">
    <w:name w:val="max-w-full"/>
    <w:basedOn w:val="DefaultParagraphFont"/>
    <w:qFormat/>
    <w:rsid w:val="0088177A"/>
  </w:style>
  <w:style w:type="character" w:customStyle="1" w:styleId="-me-1">
    <w:name w:val="-me-1"/>
    <w:basedOn w:val="DefaultParagraphFont"/>
    <w:qFormat/>
    <w:rsid w:val="0088177A"/>
  </w:style>
  <w:style w:type="table" w:customStyle="1" w:styleId="TableGrid56">
    <w:name w:val="Table Grid56"/>
    <w:basedOn w:val="TableNormal"/>
    <w:next w:val="TableGrid"/>
    <w:uiPriority w:val="59"/>
    <w:qFormat/>
    <w:rsid w:val="00712B42"/>
    <w:pPr>
      <w:spacing w:after="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D90FAF"/>
  </w:style>
  <w:style w:type="table" w:customStyle="1" w:styleId="TableGrid57">
    <w:name w:val="Table Grid57"/>
    <w:basedOn w:val="TableNormal"/>
    <w:next w:val="TableGrid"/>
    <w:uiPriority w:val="59"/>
    <w:rsid w:val="00D90FAF"/>
    <w:pPr>
      <w:spacing w:after="0" w:line="240" w:lineRule="auto"/>
    </w:pPr>
    <w:rPr>
      <w:kern w:val="0"/>
      <w:sz w:val="20"/>
      <w:szCs w:val="20"/>
      <w:lang w:val="en-PH" w:eastAsia="en-PH"/>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url">
    <w:name w:val="docurl"/>
    <w:basedOn w:val="DefaultParagraphFont"/>
    <w:rsid w:val="00D90FAF"/>
  </w:style>
  <w:style w:type="paragraph" w:customStyle="1" w:styleId="lt-math-18382">
    <w:name w:val="lt-math-18382"/>
    <w:basedOn w:val="Normal"/>
    <w:rsid w:val="00D90FA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katex-mathml">
    <w:name w:val="katex-mathml"/>
    <w:basedOn w:val="DefaultParagraphFont"/>
    <w:qFormat/>
    <w:rsid w:val="00D90FAF"/>
  </w:style>
  <w:style w:type="character" w:customStyle="1" w:styleId="mord">
    <w:name w:val="mord"/>
    <w:basedOn w:val="DefaultParagraphFont"/>
    <w:qFormat/>
    <w:rsid w:val="00D90FAF"/>
  </w:style>
  <w:style w:type="character" w:customStyle="1" w:styleId="mrel">
    <w:name w:val="mrel"/>
    <w:basedOn w:val="DefaultParagraphFont"/>
    <w:qFormat/>
    <w:rsid w:val="00D90FAF"/>
  </w:style>
  <w:style w:type="character" w:customStyle="1" w:styleId="mbin">
    <w:name w:val="mbin"/>
    <w:basedOn w:val="DefaultParagraphFont"/>
    <w:qFormat/>
    <w:rsid w:val="00D90FAF"/>
  </w:style>
  <w:style w:type="character" w:customStyle="1" w:styleId="overflow-hidden">
    <w:name w:val="overflow-hidden"/>
    <w:basedOn w:val="DefaultParagraphFont"/>
    <w:qFormat/>
    <w:rsid w:val="00D90FAF"/>
  </w:style>
  <w:style w:type="paragraph" w:customStyle="1" w:styleId="my-0">
    <w:name w:val="my-0"/>
    <w:basedOn w:val="Normal"/>
    <w:rsid w:val="00D90FAF"/>
    <w:pPr>
      <w:spacing w:before="100" w:beforeAutospacing="1" w:after="100" w:afterAutospacing="1" w:line="240" w:lineRule="auto"/>
    </w:pPr>
    <w:rPr>
      <w:rFonts w:ascii="Times New Roman" w:eastAsia="Times New Roman" w:hAnsi="Times New Roman" w:cs="Times New Roman"/>
      <w:kern w:val="0"/>
      <w:lang w:val="en-PH" w:eastAsia="en-PH"/>
      <w14:ligatures w14:val="none"/>
    </w:rPr>
  </w:style>
  <w:style w:type="table" w:customStyle="1" w:styleId="LightList1">
    <w:name w:val="Light List1"/>
    <w:basedOn w:val="TableNormal"/>
    <w:uiPriority w:val="61"/>
    <w:rsid w:val="00D90FAF"/>
    <w:pPr>
      <w:spacing w:after="0" w:line="240" w:lineRule="auto"/>
    </w:pPr>
    <w:rPr>
      <w:rFonts w:ascii="Times New Roman" w:hAnsi="Times New Roman" w:cs="Times New Roman"/>
      <w:kern w:val="0"/>
      <w:sz w:val="20"/>
      <w:szCs w:val="20"/>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overbg-super">
    <w:name w:val="hover:bg-super"/>
    <w:basedOn w:val="DefaultParagraphFont"/>
    <w:rsid w:val="00D90FAF"/>
  </w:style>
  <w:style w:type="character" w:customStyle="1" w:styleId="whitespace-nowrap">
    <w:name w:val="whitespace-nowrap"/>
    <w:basedOn w:val="DefaultParagraphFont"/>
    <w:qFormat/>
    <w:rsid w:val="00D90FAF"/>
  </w:style>
  <w:style w:type="character" w:customStyle="1" w:styleId="ml-05">
    <w:name w:val="ml-0.5"/>
    <w:basedOn w:val="DefaultParagraphFont"/>
    <w:qFormat/>
    <w:rsid w:val="00D90FAF"/>
  </w:style>
  <w:style w:type="character" w:customStyle="1" w:styleId="UnresolvedMention4">
    <w:name w:val="Unresolved Mention4"/>
    <w:basedOn w:val="DefaultParagraphFont"/>
    <w:uiPriority w:val="99"/>
    <w:semiHidden/>
    <w:unhideWhenUsed/>
    <w:rsid w:val="00C85A74"/>
    <w:rPr>
      <w:color w:val="605E5C"/>
      <w:shd w:val="clear" w:color="auto" w:fill="E1DFDD"/>
    </w:rPr>
  </w:style>
  <w:style w:type="character" w:customStyle="1" w:styleId="UnresolvedMention5">
    <w:name w:val="Unresolved Mention5"/>
    <w:basedOn w:val="DefaultParagraphFont"/>
    <w:uiPriority w:val="99"/>
    <w:semiHidden/>
    <w:unhideWhenUsed/>
    <w:rsid w:val="00AF740E"/>
    <w:rPr>
      <w:color w:val="605E5C"/>
      <w:shd w:val="clear" w:color="auto" w:fill="E1DFDD"/>
    </w:rPr>
  </w:style>
  <w:style w:type="table" w:customStyle="1" w:styleId="TableGrid561">
    <w:name w:val="Table Grid561"/>
    <w:basedOn w:val="TableNormal"/>
    <w:next w:val="TableGrid"/>
    <w:uiPriority w:val="39"/>
    <w:rsid w:val="00535029"/>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80D17"/>
  </w:style>
  <w:style w:type="character" w:customStyle="1" w:styleId="UnresolvedMention6">
    <w:name w:val="Unresolved Mention6"/>
    <w:basedOn w:val="DefaultParagraphFont"/>
    <w:uiPriority w:val="99"/>
    <w:semiHidden/>
    <w:rsid w:val="00C80D17"/>
    <w:rPr>
      <w:color w:val="605E5C"/>
      <w:shd w:val="clear" w:color="auto" w:fill="E1DFDD"/>
    </w:rPr>
  </w:style>
  <w:style w:type="table" w:customStyle="1" w:styleId="TableGrid58">
    <w:name w:val="Table Grid58"/>
    <w:basedOn w:val="TableNormal"/>
    <w:next w:val="TableGrid"/>
    <w:uiPriority w:val="39"/>
    <w:qFormat/>
    <w:rsid w:val="00C80D17"/>
    <w:pPr>
      <w:spacing w:after="0" w:line="240" w:lineRule="auto"/>
    </w:pPr>
    <w:rPr>
      <w:rFonts w:ascii="Calibri" w:eastAsia="Times New Roman" w:hAnsi="Calibri" w:cs="Times New Roman"/>
      <w:sz w:val="20"/>
      <w:szCs w:val="20"/>
      <w:lang w:eastAsia="en-P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66"/>
    </w:tcPr>
  </w:style>
  <w:style w:type="numbering" w:customStyle="1" w:styleId="NoList11">
    <w:name w:val="No List11"/>
    <w:next w:val="NoList"/>
    <w:uiPriority w:val="99"/>
    <w:semiHidden/>
    <w:unhideWhenUsed/>
    <w:rsid w:val="003E6505"/>
  </w:style>
  <w:style w:type="table" w:customStyle="1" w:styleId="Style10">
    <w:name w:val="_Style 10"/>
    <w:basedOn w:val="TableNormal"/>
    <w:rsid w:val="00B96D21"/>
    <w:pPr>
      <w:spacing w:after="0" w:line="240" w:lineRule="auto"/>
    </w:pPr>
    <w:rPr>
      <w:rFonts w:ascii="Times New Roman" w:eastAsia="Times New Roman" w:hAnsi="Times New Roman" w:cs="Times New Roman"/>
      <w:kern w:val="0"/>
      <w:sz w:val="20"/>
      <w:szCs w:val="20"/>
      <w:lang w:val="en-PH" w:eastAsia="en-PH"/>
      <w14:ligatures w14:val="none"/>
    </w:rPr>
    <w:tblPr>
      <w:tblInd w:w="0" w:type="nil"/>
      <w:tblCellMar>
        <w:top w:w="100" w:type="dxa"/>
        <w:left w:w="100" w:type="dxa"/>
        <w:bottom w:w="100" w:type="dxa"/>
        <w:right w:w="100" w:type="dxa"/>
      </w:tblCellMar>
    </w:tblPr>
  </w:style>
  <w:style w:type="table" w:customStyle="1" w:styleId="Style11">
    <w:name w:val="_Style 11"/>
    <w:basedOn w:val="TableNormal"/>
    <w:rsid w:val="00B96D21"/>
    <w:pPr>
      <w:spacing w:after="0" w:line="240" w:lineRule="auto"/>
    </w:pPr>
    <w:rPr>
      <w:rFonts w:ascii="Times New Roman" w:eastAsia="Times New Roman" w:hAnsi="Times New Roman" w:cs="Times New Roman"/>
      <w:kern w:val="0"/>
      <w:sz w:val="20"/>
      <w:szCs w:val="20"/>
      <w:lang w:val="en-PH" w:eastAsia="en-PH"/>
      <w14:ligatures w14:val="none"/>
    </w:rPr>
    <w:tblPr>
      <w:tblInd w:w="0" w:type="nil"/>
      <w:tblCellMar>
        <w:top w:w="100" w:type="dxa"/>
        <w:left w:w="100" w:type="dxa"/>
        <w:bottom w:w="100" w:type="dxa"/>
        <w:right w:w="100" w:type="dxa"/>
      </w:tblCellMar>
    </w:tblPr>
  </w:style>
  <w:style w:type="table" w:customStyle="1" w:styleId="Style12">
    <w:name w:val="_Style 12"/>
    <w:basedOn w:val="TableNormal"/>
    <w:rsid w:val="00B96D21"/>
    <w:pPr>
      <w:spacing w:after="0" w:line="240" w:lineRule="auto"/>
    </w:pPr>
    <w:rPr>
      <w:rFonts w:ascii="Times New Roman" w:eastAsia="Times New Roman" w:hAnsi="Times New Roman" w:cs="Times New Roman"/>
      <w:kern w:val="0"/>
      <w:sz w:val="20"/>
      <w:szCs w:val="20"/>
      <w:lang w:val="en-PH" w:eastAsia="en-PH"/>
      <w14:ligatures w14:val="none"/>
    </w:rPr>
    <w:tblPr>
      <w:tblInd w:w="0" w:type="nil"/>
      <w:tblCellMar>
        <w:top w:w="100" w:type="dxa"/>
        <w:left w:w="100" w:type="dxa"/>
        <w:bottom w:w="100" w:type="dxa"/>
        <w:right w:w="100" w:type="dxa"/>
      </w:tblCellMar>
    </w:tblPr>
  </w:style>
  <w:style w:type="character" w:customStyle="1" w:styleId="jsgrdq">
    <w:name w:val="jsgrdq"/>
    <w:basedOn w:val="DefaultParagraphFont"/>
    <w:rsid w:val="00E92A1A"/>
  </w:style>
  <w:style w:type="table" w:customStyle="1" w:styleId="TableGrid59">
    <w:name w:val="Table Grid59"/>
    <w:basedOn w:val="TableNormal"/>
    <w:next w:val="TableGrid"/>
    <w:uiPriority w:val="39"/>
    <w:rsid w:val="000361A2"/>
    <w:pPr>
      <w:spacing w:after="0" w:line="240" w:lineRule="auto"/>
    </w:pPr>
    <w:rPr>
      <w:kern w:val="0"/>
      <w:sz w:val="22"/>
      <w:szCs w:val="22"/>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0361A2"/>
    <w:pPr>
      <w:spacing w:after="0" w:line="240" w:lineRule="auto"/>
    </w:pPr>
    <w:rPr>
      <w:kern w:val="0"/>
      <w:sz w:val="22"/>
      <w:szCs w:val="22"/>
      <w:lang w:val="en-PH"/>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IJERIPTitle">
    <w:name w:val="IJERIP_Title"/>
    <w:rsid w:val="00A23C77"/>
    <w:pPr>
      <w:spacing w:after="0" w:line="240" w:lineRule="auto"/>
    </w:pPr>
    <w:rPr>
      <w:rFonts w:ascii="Times New Roman" w:eastAsiaTheme="minorEastAsia" w:hAnsi="Times New Roman"/>
      <w:b/>
      <w:kern w:val="0"/>
      <w:sz w:val="40"/>
      <w:szCs w:val="22"/>
      <w14:ligatures w14:val="none"/>
    </w:rPr>
  </w:style>
  <w:style w:type="paragraph" w:customStyle="1" w:styleId="IJERIPAuthor">
    <w:name w:val="IJERIP_Author"/>
    <w:rsid w:val="00A23C77"/>
    <w:pPr>
      <w:spacing w:after="0" w:line="240" w:lineRule="auto"/>
    </w:pPr>
    <w:rPr>
      <w:rFonts w:ascii="Times New Roman" w:eastAsiaTheme="minorEastAsia" w:hAnsi="Times New Roman"/>
      <w:kern w:val="0"/>
      <w:sz w:val="22"/>
      <w:szCs w:val="22"/>
      <w14:ligatures w14:val="none"/>
    </w:rPr>
  </w:style>
  <w:style w:type="table" w:customStyle="1" w:styleId="PlainTable22">
    <w:name w:val="Plain Table 22"/>
    <w:basedOn w:val="TableNormal"/>
    <w:next w:val="PlainTable2"/>
    <w:uiPriority w:val="42"/>
    <w:rsid w:val="00B92BDE"/>
    <w:pPr>
      <w:spacing w:after="0" w:line="240" w:lineRule="auto"/>
    </w:pPr>
    <w:rPr>
      <w:lang w:val="en-PH"/>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2">
    <w:name w:val="No List12"/>
    <w:next w:val="NoList"/>
    <w:uiPriority w:val="99"/>
    <w:semiHidden/>
    <w:unhideWhenUsed/>
    <w:rsid w:val="00133793"/>
  </w:style>
  <w:style w:type="table" w:customStyle="1" w:styleId="PlainTable23">
    <w:name w:val="Plain Table 23"/>
    <w:basedOn w:val="TableNormal"/>
    <w:next w:val="PlainTable2"/>
    <w:uiPriority w:val="42"/>
    <w:rsid w:val="00133793"/>
    <w:pPr>
      <w:spacing w:after="0" w:line="240" w:lineRule="auto"/>
    </w:pPr>
    <w:rPr>
      <w:lang w:val="en-PH"/>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0">
    <w:name w:val="Table Grid60"/>
    <w:basedOn w:val="TableNormal"/>
    <w:next w:val="TableGrid"/>
    <w:uiPriority w:val="39"/>
    <w:rsid w:val="00133793"/>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133793"/>
  </w:style>
  <w:style w:type="paragraph" w:styleId="Revision">
    <w:name w:val="Revision"/>
    <w:hidden/>
    <w:uiPriority w:val="99"/>
    <w:semiHidden/>
    <w:rsid w:val="00133793"/>
    <w:pPr>
      <w:spacing w:after="0" w:line="240" w:lineRule="auto"/>
    </w:pPr>
    <w:rPr>
      <w:rFonts w:ascii="Times New Roman" w:eastAsia="Times New Roman" w:hAnsi="Times New Roman" w:cs="Times New Roman"/>
      <w:kern w:val="0"/>
      <w:lang w:val="en-PH"/>
      <w14:ligatures w14:val="none"/>
    </w:rPr>
  </w:style>
  <w:style w:type="table" w:customStyle="1" w:styleId="GridTable1Light1">
    <w:name w:val="Grid Table 1 Light1"/>
    <w:basedOn w:val="TableNormal"/>
    <w:next w:val="GridTable1Light"/>
    <w:uiPriority w:val="46"/>
    <w:rsid w:val="00133793"/>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31">
    <w:name w:val="Plain Table 31"/>
    <w:basedOn w:val="TableNormal"/>
    <w:next w:val="PlainTable3"/>
    <w:uiPriority w:val="43"/>
    <w:rsid w:val="00133793"/>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7">
    <w:name w:val="Unresolved Mention7"/>
    <w:basedOn w:val="DefaultParagraphFont"/>
    <w:uiPriority w:val="99"/>
    <w:unhideWhenUsed/>
    <w:rsid w:val="00133793"/>
    <w:rPr>
      <w:color w:val="605E5C"/>
      <w:shd w:val="clear" w:color="auto" w:fill="E1DFDD"/>
    </w:rPr>
  </w:style>
  <w:style w:type="numbering" w:customStyle="1" w:styleId="NoList13">
    <w:name w:val="No List13"/>
    <w:next w:val="NoList"/>
    <w:uiPriority w:val="99"/>
    <w:semiHidden/>
    <w:unhideWhenUsed/>
    <w:rsid w:val="00A447F8"/>
  </w:style>
  <w:style w:type="table" w:customStyle="1" w:styleId="TableGrid61">
    <w:name w:val="Table Grid61"/>
    <w:basedOn w:val="TableNormal"/>
    <w:next w:val="TableGrid"/>
    <w:uiPriority w:val="59"/>
    <w:qFormat/>
    <w:rsid w:val="00A447F8"/>
    <w:pPr>
      <w:spacing w:after="0" w:line="240" w:lineRule="auto"/>
    </w:pPr>
    <w:rPr>
      <w:rFonts w:ascii="Times New Roman" w:eastAsia="SimSu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4">
    <w:name w:val="Plain Table 24"/>
    <w:basedOn w:val="TableNormal"/>
    <w:next w:val="PlainTable2"/>
    <w:uiPriority w:val="42"/>
    <w:rsid w:val="00A447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9">
    <w:name w:val="Table Grid119"/>
    <w:basedOn w:val="TableNormal"/>
    <w:next w:val="TableGrid"/>
    <w:uiPriority w:val="39"/>
    <w:rsid w:val="00A447F8"/>
    <w:pPr>
      <w:spacing w:after="0" w:line="240" w:lineRule="auto"/>
    </w:pPr>
    <w:rPr>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5">
    <w:name w:val="Plain Table 25"/>
    <w:basedOn w:val="TableNormal"/>
    <w:next w:val="PlainTable2"/>
    <w:uiPriority w:val="42"/>
    <w:rsid w:val="00A447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4">
    <w:name w:val="No List14"/>
    <w:next w:val="NoList"/>
    <w:uiPriority w:val="99"/>
    <w:semiHidden/>
    <w:unhideWhenUsed/>
    <w:rsid w:val="006070FD"/>
  </w:style>
  <w:style w:type="paragraph" w:customStyle="1" w:styleId="Text">
    <w:name w:val="Text"/>
    <w:basedOn w:val="Normal"/>
    <w:rsid w:val="006070FD"/>
    <w:pPr>
      <w:widowControl w:val="0"/>
      <w:autoSpaceDE w:val="0"/>
      <w:autoSpaceDN w:val="0"/>
      <w:spacing w:after="0" w:line="252" w:lineRule="auto"/>
      <w:ind w:firstLine="202"/>
      <w:jc w:val="both"/>
    </w:pPr>
    <w:rPr>
      <w:rFonts w:ascii="Times New Roman" w:eastAsia="PMingLiU" w:hAnsi="Times New Roman" w:cs="Times New Roman"/>
      <w:kern w:val="0"/>
      <w:sz w:val="20"/>
      <w:szCs w:val="20"/>
      <w14:ligatures w14:val="none"/>
    </w:rPr>
  </w:style>
  <w:style w:type="paragraph" w:customStyle="1" w:styleId="figurecaption">
    <w:name w:val="figure caption"/>
    <w:basedOn w:val="Normal"/>
    <w:link w:val="figurecaptionChar"/>
    <w:qFormat/>
    <w:rsid w:val="006070FD"/>
    <w:pPr>
      <w:autoSpaceDE w:val="0"/>
      <w:autoSpaceDN w:val="0"/>
      <w:spacing w:after="0" w:line="240" w:lineRule="auto"/>
      <w:jc w:val="center"/>
    </w:pPr>
    <w:rPr>
      <w:rFonts w:ascii="Times New Roman" w:eastAsia="PMingLiU" w:hAnsi="Times New Roman" w:cs="Times New Roman"/>
      <w:kern w:val="0"/>
      <w:sz w:val="16"/>
      <w:szCs w:val="16"/>
      <w14:ligatures w14:val="none"/>
    </w:rPr>
  </w:style>
  <w:style w:type="character" w:customStyle="1" w:styleId="figurecaptionChar">
    <w:name w:val="figure caption Char"/>
    <w:link w:val="figurecaption"/>
    <w:rsid w:val="006070FD"/>
    <w:rPr>
      <w:rFonts w:ascii="Times New Roman" w:eastAsia="PMingLiU" w:hAnsi="Times New Roman" w:cs="Times New Roman"/>
      <w:kern w:val="0"/>
      <w:sz w:val="16"/>
      <w:szCs w:val="16"/>
      <w14:ligatures w14:val="none"/>
    </w:rPr>
  </w:style>
  <w:style w:type="paragraph" w:customStyle="1" w:styleId="xl65">
    <w:name w:val="xl65"/>
    <w:basedOn w:val="Normal"/>
    <w:rsid w:val="0060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PH" w:eastAsia="en-PH"/>
      <w14:ligatures w14:val="none"/>
    </w:rPr>
  </w:style>
  <w:style w:type="paragraph" w:customStyle="1" w:styleId="xl66">
    <w:name w:val="xl66"/>
    <w:basedOn w:val="Normal"/>
    <w:rsid w:val="0060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kern w:val="0"/>
      <w:sz w:val="20"/>
      <w:szCs w:val="20"/>
      <w:lang w:val="en-PH" w:eastAsia="en-PH"/>
      <w14:ligatures w14:val="none"/>
    </w:rPr>
  </w:style>
  <w:style w:type="paragraph" w:customStyle="1" w:styleId="xl67">
    <w:name w:val="xl67"/>
    <w:basedOn w:val="Normal"/>
    <w:rsid w:val="00607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val="en-PH" w:eastAsia="en-PH"/>
      <w14:ligatures w14:val="none"/>
    </w:rPr>
  </w:style>
  <w:style w:type="paragraph" w:customStyle="1" w:styleId="xl68">
    <w:name w:val="xl68"/>
    <w:basedOn w:val="Normal"/>
    <w:rsid w:val="00607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ourier New" w:eastAsia="Times New Roman" w:hAnsi="Courier New" w:cs="Courier New"/>
      <w:b/>
      <w:bCs/>
      <w:kern w:val="0"/>
      <w:sz w:val="20"/>
      <w:szCs w:val="20"/>
      <w:lang w:val="en-PH" w:eastAsia="en-PH"/>
      <w14:ligatures w14:val="none"/>
    </w:rPr>
  </w:style>
  <w:style w:type="paragraph" w:customStyle="1" w:styleId="xl69">
    <w:name w:val="xl69"/>
    <w:basedOn w:val="Normal"/>
    <w:rsid w:val="00607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ourier New" w:eastAsia="Times New Roman" w:hAnsi="Courier New" w:cs="Courier New"/>
      <w:kern w:val="0"/>
      <w:sz w:val="20"/>
      <w:szCs w:val="20"/>
      <w:lang w:val="en-PH" w:eastAsia="en-PH"/>
      <w14:ligatures w14:val="none"/>
    </w:rPr>
  </w:style>
  <w:style w:type="paragraph" w:customStyle="1" w:styleId="xl70">
    <w:name w:val="xl70"/>
    <w:basedOn w:val="Normal"/>
    <w:rsid w:val="00607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urier New" w:eastAsia="Times New Roman" w:hAnsi="Courier New" w:cs="Courier New"/>
      <w:kern w:val="0"/>
      <w:sz w:val="20"/>
      <w:szCs w:val="20"/>
      <w:lang w:val="en-PH" w:eastAsia="en-PH"/>
      <w14:ligatures w14:val="none"/>
    </w:rPr>
  </w:style>
  <w:style w:type="paragraph" w:customStyle="1" w:styleId="xl71">
    <w:name w:val="xl71"/>
    <w:basedOn w:val="Normal"/>
    <w:rsid w:val="00607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urier New" w:eastAsia="Times New Roman" w:hAnsi="Courier New" w:cs="Courier New"/>
      <w:kern w:val="0"/>
      <w:sz w:val="20"/>
      <w:szCs w:val="20"/>
      <w:lang w:val="en-PH" w:eastAsia="en-PH"/>
      <w14:ligatures w14:val="none"/>
    </w:rPr>
  </w:style>
  <w:style w:type="paragraph" w:customStyle="1" w:styleId="xl72">
    <w:name w:val="xl72"/>
    <w:basedOn w:val="Normal"/>
    <w:rsid w:val="00607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ourier New" w:eastAsia="Times New Roman" w:hAnsi="Courier New" w:cs="Courier New"/>
      <w:b/>
      <w:bCs/>
      <w:kern w:val="0"/>
      <w:sz w:val="20"/>
      <w:szCs w:val="20"/>
      <w:lang w:val="en-PH" w:eastAsia="en-PH"/>
      <w14:ligatures w14:val="none"/>
    </w:rPr>
  </w:style>
  <w:style w:type="paragraph" w:customStyle="1" w:styleId="xl73">
    <w:name w:val="xl73"/>
    <w:basedOn w:val="Normal"/>
    <w:rsid w:val="00607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ourier New" w:eastAsia="Times New Roman" w:hAnsi="Courier New" w:cs="Courier New"/>
      <w:kern w:val="0"/>
      <w:sz w:val="20"/>
      <w:szCs w:val="20"/>
      <w:lang w:val="en-PH" w:eastAsia="en-PH"/>
      <w14:ligatures w14:val="none"/>
    </w:rPr>
  </w:style>
  <w:style w:type="paragraph" w:customStyle="1" w:styleId="xl74">
    <w:name w:val="xl74"/>
    <w:basedOn w:val="Normal"/>
    <w:rsid w:val="00607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urier New" w:eastAsia="Times New Roman" w:hAnsi="Courier New" w:cs="Courier New"/>
      <w:kern w:val="0"/>
      <w:sz w:val="16"/>
      <w:szCs w:val="16"/>
      <w:lang w:val="en-PH" w:eastAsia="en-PH"/>
      <w14:ligatures w14:val="none"/>
    </w:rPr>
  </w:style>
  <w:style w:type="paragraph" w:customStyle="1" w:styleId="xl75">
    <w:name w:val="xl75"/>
    <w:basedOn w:val="Normal"/>
    <w:rsid w:val="006070F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ourier New" w:eastAsia="Times New Roman" w:hAnsi="Courier New" w:cs="Courier New"/>
      <w:b/>
      <w:bCs/>
      <w:color w:val="000000"/>
      <w:kern w:val="0"/>
      <w:sz w:val="20"/>
      <w:szCs w:val="20"/>
      <w:lang w:val="en-PH" w:eastAsia="en-PH"/>
      <w14:ligatures w14:val="none"/>
    </w:rPr>
  </w:style>
  <w:style w:type="paragraph" w:customStyle="1" w:styleId="xl76">
    <w:name w:val="xl76"/>
    <w:basedOn w:val="Normal"/>
    <w:rsid w:val="006070FD"/>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Courier New" w:eastAsia="Times New Roman" w:hAnsi="Courier New" w:cs="Courier New"/>
      <w:color w:val="000000"/>
      <w:kern w:val="0"/>
      <w:sz w:val="20"/>
      <w:szCs w:val="20"/>
      <w:lang w:val="en-PH" w:eastAsia="en-PH"/>
      <w14:ligatures w14:val="none"/>
    </w:rPr>
  </w:style>
  <w:style w:type="paragraph" w:customStyle="1" w:styleId="xl77">
    <w:name w:val="xl77"/>
    <w:basedOn w:val="Normal"/>
    <w:rsid w:val="006070F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ourier New" w:eastAsia="Times New Roman" w:hAnsi="Courier New" w:cs="Courier New"/>
      <w:color w:val="000000"/>
      <w:kern w:val="0"/>
      <w:sz w:val="20"/>
      <w:szCs w:val="20"/>
      <w:lang w:val="en-PH" w:eastAsia="en-PH"/>
      <w14:ligatures w14:val="none"/>
    </w:rPr>
  </w:style>
  <w:style w:type="paragraph" w:customStyle="1" w:styleId="xl78">
    <w:name w:val="xl78"/>
    <w:basedOn w:val="Normal"/>
    <w:rsid w:val="006070F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ourier New" w:eastAsia="Times New Roman" w:hAnsi="Courier New" w:cs="Courier New"/>
      <w:color w:val="FF0000"/>
      <w:kern w:val="0"/>
      <w:sz w:val="20"/>
      <w:szCs w:val="20"/>
      <w:lang w:val="en-PH" w:eastAsia="en-PH"/>
      <w14:ligatures w14:val="none"/>
    </w:rPr>
  </w:style>
  <w:style w:type="paragraph" w:customStyle="1" w:styleId="xl79">
    <w:name w:val="xl79"/>
    <w:basedOn w:val="Normal"/>
    <w:rsid w:val="006070F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ourier New" w:eastAsia="Times New Roman" w:hAnsi="Courier New" w:cs="Courier New"/>
      <w:kern w:val="0"/>
      <w:sz w:val="20"/>
      <w:szCs w:val="20"/>
      <w:lang w:val="en-PH" w:eastAsia="en-PH"/>
      <w14:ligatures w14:val="none"/>
    </w:rPr>
  </w:style>
  <w:style w:type="paragraph" w:customStyle="1" w:styleId="xl80">
    <w:name w:val="xl80"/>
    <w:basedOn w:val="Normal"/>
    <w:rsid w:val="006070F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ourier New" w:eastAsia="Times New Roman" w:hAnsi="Courier New" w:cs="Courier New"/>
      <w:color w:val="1F497D"/>
      <w:kern w:val="0"/>
      <w:sz w:val="20"/>
      <w:szCs w:val="20"/>
      <w:lang w:val="en-PH" w:eastAsia="en-PH"/>
      <w14:ligatures w14:val="none"/>
    </w:rPr>
  </w:style>
  <w:style w:type="paragraph" w:customStyle="1" w:styleId="xl81">
    <w:name w:val="xl81"/>
    <w:basedOn w:val="Normal"/>
    <w:rsid w:val="006070FD"/>
    <w:pPr>
      <w:spacing w:before="100" w:beforeAutospacing="1" w:after="100" w:afterAutospacing="1" w:line="240" w:lineRule="auto"/>
      <w:jc w:val="right"/>
      <w:textAlignment w:val="center"/>
    </w:pPr>
    <w:rPr>
      <w:rFonts w:ascii="Courier New" w:eastAsia="Times New Roman" w:hAnsi="Courier New" w:cs="Courier New"/>
      <w:b/>
      <w:bCs/>
      <w:color w:val="000000"/>
      <w:kern w:val="0"/>
      <w:sz w:val="20"/>
      <w:szCs w:val="20"/>
      <w:lang w:val="en-PH"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942">
      <w:bodyDiv w:val="1"/>
      <w:marLeft w:val="0"/>
      <w:marRight w:val="0"/>
      <w:marTop w:val="0"/>
      <w:marBottom w:val="0"/>
      <w:divBdr>
        <w:top w:val="none" w:sz="0" w:space="0" w:color="auto"/>
        <w:left w:val="none" w:sz="0" w:space="0" w:color="auto"/>
        <w:bottom w:val="none" w:sz="0" w:space="0" w:color="auto"/>
        <w:right w:val="none" w:sz="0" w:space="0" w:color="auto"/>
      </w:divBdr>
    </w:div>
    <w:div w:id="60829566">
      <w:bodyDiv w:val="1"/>
      <w:marLeft w:val="0"/>
      <w:marRight w:val="0"/>
      <w:marTop w:val="0"/>
      <w:marBottom w:val="0"/>
      <w:divBdr>
        <w:top w:val="none" w:sz="0" w:space="0" w:color="auto"/>
        <w:left w:val="none" w:sz="0" w:space="0" w:color="auto"/>
        <w:bottom w:val="none" w:sz="0" w:space="0" w:color="auto"/>
        <w:right w:val="none" w:sz="0" w:space="0" w:color="auto"/>
      </w:divBdr>
    </w:div>
    <w:div w:id="89325863">
      <w:bodyDiv w:val="1"/>
      <w:marLeft w:val="0"/>
      <w:marRight w:val="0"/>
      <w:marTop w:val="0"/>
      <w:marBottom w:val="0"/>
      <w:divBdr>
        <w:top w:val="none" w:sz="0" w:space="0" w:color="auto"/>
        <w:left w:val="none" w:sz="0" w:space="0" w:color="auto"/>
        <w:bottom w:val="none" w:sz="0" w:space="0" w:color="auto"/>
        <w:right w:val="none" w:sz="0" w:space="0" w:color="auto"/>
      </w:divBdr>
    </w:div>
    <w:div w:id="163324356">
      <w:bodyDiv w:val="1"/>
      <w:marLeft w:val="0"/>
      <w:marRight w:val="0"/>
      <w:marTop w:val="0"/>
      <w:marBottom w:val="0"/>
      <w:divBdr>
        <w:top w:val="none" w:sz="0" w:space="0" w:color="auto"/>
        <w:left w:val="none" w:sz="0" w:space="0" w:color="auto"/>
        <w:bottom w:val="none" w:sz="0" w:space="0" w:color="auto"/>
        <w:right w:val="none" w:sz="0" w:space="0" w:color="auto"/>
      </w:divBdr>
    </w:div>
    <w:div w:id="163589324">
      <w:bodyDiv w:val="1"/>
      <w:marLeft w:val="0"/>
      <w:marRight w:val="0"/>
      <w:marTop w:val="0"/>
      <w:marBottom w:val="0"/>
      <w:divBdr>
        <w:top w:val="none" w:sz="0" w:space="0" w:color="auto"/>
        <w:left w:val="none" w:sz="0" w:space="0" w:color="auto"/>
        <w:bottom w:val="none" w:sz="0" w:space="0" w:color="auto"/>
        <w:right w:val="none" w:sz="0" w:space="0" w:color="auto"/>
      </w:divBdr>
    </w:div>
    <w:div w:id="179466963">
      <w:bodyDiv w:val="1"/>
      <w:marLeft w:val="0"/>
      <w:marRight w:val="0"/>
      <w:marTop w:val="0"/>
      <w:marBottom w:val="0"/>
      <w:divBdr>
        <w:top w:val="none" w:sz="0" w:space="0" w:color="auto"/>
        <w:left w:val="none" w:sz="0" w:space="0" w:color="auto"/>
        <w:bottom w:val="none" w:sz="0" w:space="0" w:color="auto"/>
        <w:right w:val="none" w:sz="0" w:space="0" w:color="auto"/>
      </w:divBdr>
    </w:div>
    <w:div w:id="181867997">
      <w:bodyDiv w:val="1"/>
      <w:marLeft w:val="0"/>
      <w:marRight w:val="0"/>
      <w:marTop w:val="0"/>
      <w:marBottom w:val="0"/>
      <w:divBdr>
        <w:top w:val="none" w:sz="0" w:space="0" w:color="auto"/>
        <w:left w:val="none" w:sz="0" w:space="0" w:color="auto"/>
        <w:bottom w:val="none" w:sz="0" w:space="0" w:color="auto"/>
        <w:right w:val="none" w:sz="0" w:space="0" w:color="auto"/>
      </w:divBdr>
    </w:div>
    <w:div w:id="203905293">
      <w:bodyDiv w:val="1"/>
      <w:marLeft w:val="0"/>
      <w:marRight w:val="0"/>
      <w:marTop w:val="0"/>
      <w:marBottom w:val="0"/>
      <w:divBdr>
        <w:top w:val="none" w:sz="0" w:space="0" w:color="auto"/>
        <w:left w:val="none" w:sz="0" w:space="0" w:color="auto"/>
        <w:bottom w:val="none" w:sz="0" w:space="0" w:color="auto"/>
        <w:right w:val="none" w:sz="0" w:space="0" w:color="auto"/>
      </w:divBdr>
    </w:div>
    <w:div w:id="277834678">
      <w:bodyDiv w:val="1"/>
      <w:marLeft w:val="0"/>
      <w:marRight w:val="0"/>
      <w:marTop w:val="0"/>
      <w:marBottom w:val="0"/>
      <w:divBdr>
        <w:top w:val="none" w:sz="0" w:space="0" w:color="auto"/>
        <w:left w:val="none" w:sz="0" w:space="0" w:color="auto"/>
        <w:bottom w:val="none" w:sz="0" w:space="0" w:color="auto"/>
        <w:right w:val="none" w:sz="0" w:space="0" w:color="auto"/>
      </w:divBdr>
    </w:div>
    <w:div w:id="316416724">
      <w:bodyDiv w:val="1"/>
      <w:marLeft w:val="0"/>
      <w:marRight w:val="0"/>
      <w:marTop w:val="0"/>
      <w:marBottom w:val="0"/>
      <w:divBdr>
        <w:top w:val="none" w:sz="0" w:space="0" w:color="auto"/>
        <w:left w:val="none" w:sz="0" w:space="0" w:color="auto"/>
        <w:bottom w:val="none" w:sz="0" w:space="0" w:color="auto"/>
        <w:right w:val="none" w:sz="0" w:space="0" w:color="auto"/>
      </w:divBdr>
    </w:div>
    <w:div w:id="375082906">
      <w:bodyDiv w:val="1"/>
      <w:marLeft w:val="0"/>
      <w:marRight w:val="0"/>
      <w:marTop w:val="0"/>
      <w:marBottom w:val="0"/>
      <w:divBdr>
        <w:top w:val="none" w:sz="0" w:space="0" w:color="auto"/>
        <w:left w:val="none" w:sz="0" w:space="0" w:color="auto"/>
        <w:bottom w:val="none" w:sz="0" w:space="0" w:color="auto"/>
        <w:right w:val="none" w:sz="0" w:space="0" w:color="auto"/>
      </w:divBdr>
    </w:div>
    <w:div w:id="393699894">
      <w:bodyDiv w:val="1"/>
      <w:marLeft w:val="0"/>
      <w:marRight w:val="0"/>
      <w:marTop w:val="0"/>
      <w:marBottom w:val="0"/>
      <w:divBdr>
        <w:top w:val="none" w:sz="0" w:space="0" w:color="auto"/>
        <w:left w:val="none" w:sz="0" w:space="0" w:color="auto"/>
        <w:bottom w:val="none" w:sz="0" w:space="0" w:color="auto"/>
        <w:right w:val="none" w:sz="0" w:space="0" w:color="auto"/>
      </w:divBdr>
    </w:div>
    <w:div w:id="464660574">
      <w:bodyDiv w:val="1"/>
      <w:marLeft w:val="0"/>
      <w:marRight w:val="0"/>
      <w:marTop w:val="0"/>
      <w:marBottom w:val="0"/>
      <w:divBdr>
        <w:top w:val="none" w:sz="0" w:space="0" w:color="auto"/>
        <w:left w:val="none" w:sz="0" w:space="0" w:color="auto"/>
        <w:bottom w:val="none" w:sz="0" w:space="0" w:color="auto"/>
        <w:right w:val="none" w:sz="0" w:space="0" w:color="auto"/>
      </w:divBdr>
    </w:div>
    <w:div w:id="495651863">
      <w:bodyDiv w:val="1"/>
      <w:marLeft w:val="0"/>
      <w:marRight w:val="0"/>
      <w:marTop w:val="0"/>
      <w:marBottom w:val="0"/>
      <w:divBdr>
        <w:top w:val="none" w:sz="0" w:space="0" w:color="auto"/>
        <w:left w:val="none" w:sz="0" w:space="0" w:color="auto"/>
        <w:bottom w:val="none" w:sz="0" w:space="0" w:color="auto"/>
        <w:right w:val="none" w:sz="0" w:space="0" w:color="auto"/>
      </w:divBdr>
    </w:div>
    <w:div w:id="503396924">
      <w:bodyDiv w:val="1"/>
      <w:marLeft w:val="0"/>
      <w:marRight w:val="0"/>
      <w:marTop w:val="0"/>
      <w:marBottom w:val="0"/>
      <w:divBdr>
        <w:top w:val="none" w:sz="0" w:space="0" w:color="auto"/>
        <w:left w:val="none" w:sz="0" w:space="0" w:color="auto"/>
        <w:bottom w:val="none" w:sz="0" w:space="0" w:color="auto"/>
        <w:right w:val="none" w:sz="0" w:space="0" w:color="auto"/>
      </w:divBdr>
    </w:div>
    <w:div w:id="549153205">
      <w:bodyDiv w:val="1"/>
      <w:marLeft w:val="0"/>
      <w:marRight w:val="0"/>
      <w:marTop w:val="0"/>
      <w:marBottom w:val="0"/>
      <w:divBdr>
        <w:top w:val="none" w:sz="0" w:space="0" w:color="auto"/>
        <w:left w:val="none" w:sz="0" w:space="0" w:color="auto"/>
        <w:bottom w:val="none" w:sz="0" w:space="0" w:color="auto"/>
        <w:right w:val="none" w:sz="0" w:space="0" w:color="auto"/>
      </w:divBdr>
    </w:div>
    <w:div w:id="550460416">
      <w:bodyDiv w:val="1"/>
      <w:marLeft w:val="0"/>
      <w:marRight w:val="0"/>
      <w:marTop w:val="0"/>
      <w:marBottom w:val="0"/>
      <w:divBdr>
        <w:top w:val="none" w:sz="0" w:space="0" w:color="auto"/>
        <w:left w:val="none" w:sz="0" w:space="0" w:color="auto"/>
        <w:bottom w:val="none" w:sz="0" w:space="0" w:color="auto"/>
        <w:right w:val="none" w:sz="0" w:space="0" w:color="auto"/>
      </w:divBdr>
    </w:div>
    <w:div w:id="575479270">
      <w:bodyDiv w:val="1"/>
      <w:marLeft w:val="0"/>
      <w:marRight w:val="0"/>
      <w:marTop w:val="0"/>
      <w:marBottom w:val="0"/>
      <w:divBdr>
        <w:top w:val="none" w:sz="0" w:space="0" w:color="auto"/>
        <w:left w:val="none" w:sz="0" w:space="0" w:color="auto"/>
        <w:bottom w:val="none" w:sz="0" w:space="0" w:color="auto"/>
        <w:right w:val="none" w:sz="0" w:space="0" w:color="auto"/>
      </w:divBdr>
    </w:div>
    <w:div w:id="673341981">
      <w:bodyDiv w:val="1"/>
      <w:marLeft w:val="0"/>
      <w:marRight w:val="0"/>
      <w:marTop w:val="0"/>
      <w:marBottom w:val="0"/>
      <w:divBdr>
        <w:top w:val="none" w:sz="0" w:space="0" w:color="auto"/>
        <w:left w:val="none" w:sz="0" w:space="0" w:color="auto"/>
        <w:bottom w:val="none" w:sz="0" w:space="0" w:color="auto"/>
        <w:right w:val="none" w:sz="0" w:space="0" w:color="auto"/>
      </w:divBdr>
    </w:div>
    <w:div w:id="693268525">
      <w:bodyDiv w:val="1"/>
      <w:marLeft w:val="0"/>
      <w:marRight w:val="0"/>
      <w:marTop w:val="0"/>
      <w:marBottom w:val="0"/>
      <w:divBdr>
        <w:top w:val="none" w:sz="0" w:space="0" w:color="auto"/>
        <w:left w:val="none" w:sz="0" w:space="0" w:color="auto"/>
        <w:bottom w:val="none" w:sz="0" w:space="0" w:color="auto"/>
        <w:right w:val="none" w:sz="0" w:space="0" w:color="auto"/>
      </w:divBdr>
    </w:div>
    <w:div w:id="709498799">
      <w:bodyDiv w:val="1"/>
      <w:marLeft w:val="0"/>
      <w:marRight w:val="0"/>
      <w:marTop w:val="0"/>
      <w:marBottom w:val="0"/>
      <w:divBdr>
        <w:top w:val="none" w:sz="0" w:space="0" w:color="auto"/>
        <w:left w:val="none" w:sz="0" w:space="0" w:color="auto"/>
        <w:bottom w:val="none" w:sz="0" w:space="0" w:color="auto"/>
        <w:right w:val="none" w:sz="0" w:space="0" w:color="auto"/>
      </w:divBdr>
    </w:div>
    <w:div w:id="723482292">
      <w:bodyDiv w:val="1"/>
      <w:marLeft w:val="0"/>
      <w:marRight w:val="0"/>
      <w:marTop w:val="0"/>
      <w:marBottom w:val="0"/>
      <w:divBdr>
        <w:top w:val="none" w:sz="0" w:space="0" w:color="auto"/>
        <w:left w:val="none" w:sz="0" w:space="0" w:color="auto"/>
        <w:bottom w:val="none" w:sz="0" w:space="0" w:color="auto"/>
        <w:right w:val="none" w:sz="0" w:space="0" w:color="auto"/>
      </w:divBdr>
    </w:div>
    <w:div w:id="737244647">
      <w:bodyDiv w:val="1"/>
      <w:marLeft w:val="0"/>
      <w:marRight w:val="0"/>
      <w:marTop w:val="0"/>
      <w:marBottom w:val="0"/>
      <w:divBdr>
        <w:top w:val="none" w:sz="0" w:space="0" w:color="auto"/>
        <w:left w:val="none" w:sz="0" w:space="0" w:color="auto"/>
        <w:bottom w:val="none" w:sz="0" w:space="0" w:color="auto"/>
        <w:right w:val="none" w:sz="0" w:space="0" w:color="auto"/>
      </w:divBdr>
    </w:div>
    <w:div w:id="761293653">
      <w:bodyDiv w:val="1"/>
      <w:marLeft w:val="0"/>
      <w:marRight w:val="0"/>
      <w:marTop w:val="0"/>
      <w:marBottom w:val="0"/>
      <w:divBdr>
        <w:top w:val="none" w:sz="0" w:space="0" w:color="auto"/>
        <w:left w:val="none" w:sz="0" w:space="0" w:color="auto"/>
        <w:bottom w:val="none" w:sz="0" w:space="0" w:color="auto"/>
        <w:right w:val="none" w:sz="0" w:space="0" w:color="auto"/>
      </w:divBdr>
    </w:div>
    <w:div w:id="792404377">
      <w:bodyDiv w:val="1"/>
      <w:marLeft w:val="0"/>
      <w:marRight w:val="0"/>
      <w:marTop w:val="0"/>
      <w:marBottom w:val="0"/>
      <w:divBdr>
        <w:top w:val="none" w:sz="0" w:space="0" w:color="auto"/>
        <w:left w:val="none" w:sz="0" w:space="0" w:color="auto"/>
        <w:bottom w:val="none" w:sz="0" w:space="0" w:color="auto"/>
        <w:right w:val="none" w:sz="0" w:space="0" w:color="auto"/>
      </w:divBdr>
    </w:div>
    <w:div w:id="814297210">
      <w:bodyDiv w:val="1"/>
      <w:marLeft w:val="0"/>
      <w:marRight w:val="0"/>
      <w:marTop w:val="0"/>
      <w:marBottom w:val="0"/>
      <w:divBdr>
        <w:top w:val="none" w:sz="0" w:space="0" w:color="auto"/>
        <w:left w:val="none" w:sz="0" w:space="0" w:color="auto"/>
        <w:bottom w:val="none" w:sz="0" w:space="0" w:color="auto"/>
        <w:right w:val="none" w:sz="0" w:space="0" w:color="auto"/>
      </w:divBdr>
    </w:div>
    <w:div w:id="841822950">
      <w:bodyDiv w:val="1"/>
      <w:marLeft w:val="0"/>
      <w:marRight w:val="0"/>
      <w:marTop w:val="0"/>
      <w:marBottom w:val="0"/>
      <w:divBdr>
        <w:top w:val="none" w:sz="0" w:space="0" w:color="auto"/>
        <w:left w:val="none" w:sz="0" w:space="0" w:color="auto"/>
        <w:bottom w:val="none" w:sz="0" w:space="0" w:color="auto"/>
        <w:right w:val="none" w:sz="0" w:space="0" w:color="auto"/>
      </w:divBdr>
    </w:div>
    <w:div w:id="890463858">
      <w:bodyDiv w:val="1"/>
      <w:marLeft w:val="0"/>
      <w:marRight w:val="0"/>
      <w:marTop w:val="0"/>
      <w:marBottom w:val="0"/>
      <w:divBdr>
        <w:top w:val="none" w:sz="0" w:space="0" w:color="auto"/>
        <w:left w:val="none" w:sz="0" w:space="0" w:color="auto"/>
        <w:bottom w:val="none" w:sz="0" w:space="0" w:color="auto"/>
        <w:right w:val="none" w:sz="0" w:space="0" w:color="auto"/>
      </w:divBdr>
    </w:div>
    <w:div w:id="903487375">
      <w:bodyDiv w:val="1"/>
      <w:marLeft w:val="0"/>
      <w:marRight w:val="0"/>
      <w:marTop w:val="0"/>
      <w:marBottom w:val="0"/>
      <w:divBdr>
        <w:top w:val="none" w:sz="0" w:space="0" w:color="auto"/>
        <w:left w:val="none" w:sz="0" w:space="0" w:color="auto"/>
        <w:bottom w:val="none" w:sz="0" w:space="0" w:color="auto"/>
        <w:right w:val="none" w:sz="0" w:space="0" w:color="auto"/>
      </w:divBdr>
      <w:divsChild>
        <w:div w:id="349843007">
          <w:marLeft w:val="0"/>
          <w:marRight w:val="0"/>
          <w:marTop w:val="0"/>
          <w:marBottom w:val="0"/>
          <w:divBdr>
            <w:top w:val="none" w:sz="0" w:space="0" w:color="auto"/>
            <w:left w:val="none" w:sz="0" w:space="0" w:color="auto"/>
            <w:bottom w:val="none" w:sz="0" w:space="0" w:color="auto"/>
            <w:right w:val="none" w:sz="0" w:space="0" w:color="auto"/>
          </w:divBdr>
          <w:divsChild>
            <w:div w:id="1394742067">
              <w:marLeft w:val="0"/>
              <w:marRight w:val="0"/>
              <w:marTop w:val="0"/>
              <w:marBottom w:val="0"/>
              <w:divBdr>
                <w:top w:val="none" w:sz="0" w:space="0" w:color="auto"/>
                <w:left w:val="none" w:sz="0" w:space="0" w:color="auto"/>
                <w:bottom w:val="none" w:sz="0" w:space="0" w:color="auto"/>
                <w:right w:val="none" w:sz="0" w:space="0" w:color="auto"/>
              </w:divBdr>
              <w:divsChild>
                <w:div w:id="1161658192">
                  <w:marLeft w:val="0"/>
                  <w:marRight w:val="0"/>
                  <w:marTop w:val="0"/>
                  <w:marBottom w:val="0"/>
                  <w:divBdr>
                    <w:top w:val="none" w:sz="0" w:space="0" w:color="auto"/>
                    <w:left w:val="none" w:sz="0" w:space="0" w:color="auto"/>
                    <w:bottom w:val="none" w:sz="0" w:space="0" w:color="auto"/>
                    <w:right w:val="none" w:sz="0" w:space="0" w:color="auto"/>
                  </w:divBdr>
                  <w:divsChild>
                    <w:div w:id="1047871694">
                      <w:marLeft w:val="0"/>
                      <w:marRight w:val="0"/>
                      <w:marTop w:val="0"/>
                      <w:marBottom w:val="0"/>
                      <w:divBdr>
                        <w:top w:val="none" w:sz="0" w:space="0" w:color="auto"/>
                        <w:left w:val="none" w:sz="0" w:space="0" w:color="auto"/>
                        <w:bottom w:val="none" w:sz="0" w:space="0" w:color="auto"/>
                        <w:right w:val="none" w:sz="0" w:space="0" w:color="auto"/>
                      </w:divBdr>
                      <w:divsChild>
                        <w:div w:id="1776170960">
                          <w:marLeft w:val="0"/>
                          <w:marRight w:val="0"/>
                          <w:marTop w:val="0"/>
                          <w:marBottom w:val="0"/>
                          <w:divBdr>
                            <w:top w:val="none" w:sz="0" w:space="0" w:color="auto"/>
                            <w:left w:val="none" w:sz="0" w:space="0" w:color="auto"/>
                            <w:bottom w:val="none" w:sz="0" w:space="0" w:color="auto"/>
                            <w:right w:val="none" w:sz="0" w:space="0" w:color="auto"/>
                          </w:divBdr>
                          <w:divsChild>
                            <w:div w:id="214123294">
                              <w:marLeft w:val="0"/>
                              <w:marRight w:val="0"/>
                              <w:marTop w:val="0"/>
                              <w:marBottom w:val="0"/>
                              <w:divBdr>
                                <w:top w:val="none" w:sz="0" w:space="0" w:color="auto"/>
                                <w:left w:val="none" w:sz="0" w:space="0" w:color="auto"/>
                                <w:bottom w:val="none" w:sz="0" w:space="0" w:color="auto"/>
                                <w:right w:val="none" w:sz="0" w:space="0" w:color="auto"/>
                              </w:divBdr>
                              <w:divsChild>
                                <w:div w:id="11562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581853">
      <w:bodyDiv w:val="1"/>
      <w:marLeft w:val="0"/>
      <w:marRight w:val="0"/>
      <w:marTop w:val="0"/>
      <w:marBottom w:val="0"/>
      <w:divBdr>
        <w:top w:val="none" w:sz="0" w:space="0" w:color="auto"/>
        <w:left w:val="none" w:sz="0" w:space="0" w:color="auto"/>
        <w:bottom w:val="none" w:sz="0" w:space="0" w:color="auto"/>
        <w:right w:val="none" w:sz="0" w:space="0" w:color="auto"/>
      </w:divBdr>
      <w:divsChild>
        <w:div w:id="232080307">
          <w:marLeft w:val="0"/>
          <w:marRight w:val="0"/>
          <w:marTop w:val="0"/>
          <w:marBottom w:val="240"/>
          <w:divBdr>
            <w:top w:val="none" w:sz="0" w:space="0" w:color="auto"/>
            <w:left w:val="none" w:sz="0" w:space="0" w:color="auto"/>
            <w:bottom w:val="none" w:sz="0" w:space="0" w:color="auto"/>
            <w:right w:val="none" w:sz="0" w:space="0" w:color="auto"/>
          </w:divBdr>
          <w:divsChild>
            <w:div w:id="129822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6254">
      <w:bodyDiv w:val="1"/>
      <w:marLeft w:val="0"/>
      <w:marRight w:val="0"/>
      <w:marTop w:val="0"/>
      <w:marBottom w:val="0"/>
      <w:divBdr>
        <w:top w:val="none" w:sz="0" w:space="0" w:color="auto"/>
        <w:left w:val="none" w:sz="0" w:space="0" w:color="auto"/>
        <w:bottom w:val="none" w:sz="0" w:space="0" w:color="auto"/>
        <w:right w:val="none" w:sz="0" w:space="0" w:color="auto"/>
      </w:divBdr>
    </w:div>
    <w:div w:id="994450284">
      <w:bodyDiv w:val="1"/>
      <w:marLeft w:val="0"/>
      <w:marRight w:val="0"/>
      <w:marTop w:val="0"/>
      <w:marBottom w:val="0"/>
      <w:divBdr>
        <w:top w:val="none" w:sz="0" w:space="0" w:color="auto"/>
        <w:left w:val="none" w:sz="0" w:space="0" w:color="auto"/>
        <w:bottom w:val="none" w:sz="0" w:space="0" w:color="auto"/>
        <w:right w:val="none" w:sz="0" w:space="0" w:color="auto"/>
      </w:divBdr>
    </w:div>
    <w:div w:id="1015032962">
      <w:bodyDiv w:val="1"/>
      <w:marLeft w:val="0"/>
      <w:marRight w:val="0"/>
      <w:marTop w:val="0"/>
      <w:marBottom w:val="0"/>
      <w:divBdr>
        <w:top w:val="none" w:sz="0" w:space="0" w:color="auto"/>
        <w:left w:val="none" w:sz="0" w:space="0" w:color="auto"/>
        <w:bottom w:val="none" w:sz="0" w:space="0" w:color="auto"/>
        <w:right w:val="none" w:sz="0" w:space="0" w:color="auto"/>
      </w:divBdr>
    </w:div>
    <w:div w:id="1026716731">
      <w:bodyDiv w:val="1"/>
      <w:marLeft w:val="0"/>
      <w:marRight w:val="0"/>
      <w:marTop w:val="0"/>
      <w:marBottom w:val="0"/>
      <w:divBdr>
        <w:top w:val="none" w:sz="0" w:space="0" w:color="auto"/>
        <w:left w:val="none" w:sz="0" w:space="0" w:color="auto"/>
        <w:bottom w:val="none" w:sz="0" w:space="0" w:color="auto"/>
        <w:right w:val="none" w:sz="0" w:space="0" w:color="auto"/>
      </w:divBdr>
    </w:div>
    <w:div w:id="1041125821">
      <w:bodyDiv w:val="1"/>
      <w:marLeft w:val="0"/>
      <w:marRight w:val="0"/>
      <w:marTop w:val="0"/>
      <w:marBottom w:val="0"/>
      <w:divBdr>
        <w:top w:val="none" w:sz="0" w:space="0" w:color="auto"/>
        <w:left w:val="none" w:sz="0" w:space="0" w:color="auto"/>
        <w:bottom w:val="none" w:sz="0" w:space="0" w:color="auto"/>
        <w:right w:val="none" w:sz="0" w:space="0" w:color="auto"/>
      </w:divBdr>
    </w:div>
    <w:div w:id="1065569234">
      <w:bodyDiv w:val="1"/>
      <w:marLeft w:val="0"/>
      <w:marRight w:val="0"/>
      <w:marTop w:val="0"/>
      <w:marBottom w:val="0"/>
      <w:divBdr>
        <w:top w:val="none" w:sz="0" w:space="0" w:color="auto"/>
        <w:left w:val="none" w:sz="0" w:space="0" w:color="auto"/>
        <w:bottom w:val="none" w:sz="0" w:space="0" w:color="auto"/>
        <w:right w:val="none" w:sz="0" w:space="0" w:color="auto"/>
      </w:divBdr>
    </w:div>
    <w:div w:id="1082335972">
      <w:bodyDiv w:val="1"/>
      <w:marLeft w:val="0"/>
      <w:marRight w:val="0"/>
      <w:marTop w:val="0"/>
      <w:marBottom w:val="0"/>
      <w:divBdr>
        <w:top w:val="none" w:sz="0" w:space="0" w:color="auto"/>
        <w:left w:val="none" w:sz="0" w:space="0" w:color="auto"/>
        <w:bottom w:val="none" w:sz="0" w:space="0" w:color="auto"/>
        <w:right w:val="none" w:sz="0" w:space="0" w:color="auto"/>
      </w:divBdr>
    </w:div>
    <w:div w:id="1091707951">
      <w:bodyDiv w:val="1"/>
      <w:marLeft w:val="0"/>
      <w:marRight w:val="0"/>
      <w:marTop w:val="0"/>
      <w:marBottom w:val="0"/>
      <w:divBdr>
        <w:top w:val="none" w:sz="0" w:space="0" w:color="auto"/>
        <w:left w:val="none" w:sz="0" w:space="0" w:color="auto"/>
        <w:bottom w:val="none" w:sz="0" w:space="0" w:color="auto"/>
        <w:right w:val="none" w:sz="0" w:space="0" w:color="auto"/>
      </w:divBdr>
    </w:div>
    <w:div w:id="1136488176">
      <w:bodyDiv w:val="1"/>
      <w:marLeft w:val="0"/>
      <w:marRight w:val="0"/>
      <w:marTop w:val="0"/>
      <w:marBottom w:val="0"/>
      <w:divBdr>
        <w:top w:val="none" w:sz="0" w:space="0" w:color="auto"/>
        <w:left w:val="none" w:sz="0" w:space="0" w:color="auto"/>
        <w:bottom w:val="none" w:sz="0" w:space="0" w:color="auto"/>
        <w:right w:val="none" w:sz="0" w:space="0" w:color="auto"/>
      </w:divBdr>
    </w:div>
    <w:div w:id="1137335801">
      <w:bodyDiv w:val="1"/>
      <w:marLeft w:val="0"/>
      <w:marRight w:val="0"/>
      <w:marTop w:val="0"/>
      <w:marBottom w:val="0"/>
      <w:divBdr>
        <w:top w:val="none" w:sz="0" w:space="0" w:color="auto"/>
        <w:left w:val="none" w:sz="0" w:space="0" w:color="auto"/>
        <w:bottom w:val="none" w:sz="0" w:space="0" w:color="auto"/>
        <w:right w:val="none" w:sz="0" w:space="0" w:color="auto"/>
      </w:divBdr>
    </w:div>
    <w:div w:id="1157765134">
      <w:bodyDiv w:val="1"/>
      <w:marLeft w:val="0"/>
      <w:marRight w:val="0"/>
      <w:marTop w:val="0"/>
      <w:marBottom w:val="0"/>
      <w:divBdr>
        <w:top w:val="none" w:sz="0" w:space="0" w:color="auto"/>
        <w:left w:val="none" w:sz="0" w:space="0" w:color="auto"/>
        <w:bottom w:val="none" w:sz="0" w:space="0" w:color="auto"/>
        <w:right w:val="none" w:sz="0" w:space="0" w:color="auto"/>
      </w:divBdr>
    </w:div>
    <w:div w:id="1203907003">
      <w:bodyDiv w:val="1"/>
      <w:marLeft w:val="0"/>
      <w:marRight w:val="0"/>
      <w:marTop w:val="0"/>
      <w:marBottom w:val="0"/>
      <w:divBdr>
        <w:top w:val="none" w:sz="0" w:space="0" w:color="auto"/>
        <w:left w:val="none" w:sz="0" w:space="0" w:color="auto"/>
        <w:bottom w:val="none" w:sz="0" w:space="0" w:color="auto"/>
        <w:right w:val="none" w:sz="0" w:space="0" w:color="auto"/>
      </w:divBdr>
    </w:div>
    <w:div w:id="1205630243">
      <w:bodyDiv w:val="1"/>
      <w:marLeft w:val="0"/>
      <w:marRight w:val="0"/>
      <w:marTop w:val="0"/>
      <w:marBottom w:val="0"/>
      <w:divBdr>
        <w:top w:val="none" w:sz="0" w:space="0" w:color="auto"/>
        <w:left w:val="none" w:sz="0" w:space="0" w:color="auto"/>
        <w:bottom w:val="none" w:sz="0" w:space="0" w:color="auto"/>
        <w:right w:val="none" w:sz="0" w:space="0" w:color="auto"/>
      </w:divBdr>
    </w:div>
    <w:div w:id="1247227835">
      <w:bodyDiv w:val="1"/>
      <w:marLeft w:val="0"/>
      <w:marRight w:val="0"/>
      <w:marTop w:val="0"/>
      <w:marBottom w:val="0"/>
      <w:divBdr>
        <w:top w:val="none" w:sz="0" w:space="0" w:color="auto"/>
        <w:left w:val="none" w:sz="0" w:space="0" w:color="auto"/>
        <w:bottom w:val="none" w:sz="0" w:space="0" w:color="auto"/>
        <w:right w:val="none" w:sz="0" w:space="0" w:color="auto"/>
      </w:divBdr>
    </w:div>
    <w:div w:id="1342703907">
      <w:bodyDiv w:val="1"/>
      <w:marLeft w:val="0"/>
      <w:marRight w:val="0"/>
      <w:marTop w:val="0"/>
      <w:marBottom w:val="0"/>
      <w:divBdr>
        <w:top w:val="none" w:sz="0" w:space="0" w:color="auto"/>
        <w:left w:val="none" w:sz="0" w:space="0" w:color="auto"/>
        <w:bottom w:val="none" w:sz="0" w:space="0" w:color="auto"/>
        <w:right w:val="none" w:sz="0" w:space="0" w:color="auto"/>
      </w:divBdr>
    </w:div>
    <w:div w:id="1384132498">
      <w:bodyDiv w:val="1"/>
      <w:marLeft w:val="0"/>
      <w:marRight w:val="0"/>
      <w:marTop w:val="0"/>
      <w:marBottom w:val="0"/>
      <w:divBdr>
        <w:top w:val="none" w:sz="0" w:space="0" w:color="auto"/>
        <w:left w:val="none" w:sz="0" w:space="0" w:color="auto"/>
        <w:bottom w:val="none" w:sz="0" w:space="0" w:color="auto"/>
        <w:right w:val="none" w:sz="0" w:space="0" w:color="auto"/>
      </w:divBdr>
    </w:div>
    <w:div w:id="1402168954">
      <w:bodyDiv w:val="1"/>
      <w:marLeft w:val="0"/>
      <w:marRight w:val="0"/>
      <w:marTop w:val="0"/>
      <w:marBottom w:val="0"/>
      <w:divBdr>
        <w:top w:val="none" w:sz="0" w:space="0" w:color="auto"/>
        <w:left w:val="none" w:sz="0" w:space="0" w:color="auto"/>
        <w:bottom w:val="none" w:sz="0" w:space="0" w:color="auto"/>
        <w:right w:val="none" w:sz="0" w:space="0" w:color="auto"/>
      </w:divBdr>
    </w:div>
    <w:div w:id="1493057111">
      <w:bodyDiv w:val="1"/>
      <w:marLeft w:val="0"/>
      <w:marRight w:val="0"/>
      <w:marTop w:val="0"/>
      <w:marBottom w:val="0"/>
      <w:divBdr>
        <w:top w:val="none" w:sz="0" w:space="0" w:color="auto"/>
        <w:left w:val="none" w:sz="0" w:space="0" w:color="auto"/>
        <w:bottom w:val="none" w:sz="0" w:space="0" w:color="auto"/>
        <w:right w:val="none" w:sz="0" w:space="0" w:color="auto"/>
      </w:divBdr>
    </w:div>
    <w:div w:id="1494106310">
      <w:bodyDiv w:val="1"/>
      <w:marLeft w:val="0"/>
      <w:marRight w:val="0"/>
      <w:marTop w:val="0"/>
      <w:marBottom w:val="0"/>
      <w:divBdr>
        <w:top w:val="none" w:sz="0" w:space="0" w:color="auto"/>
        <w:left w:val="none" w:sz="0" w:space="0" w:color="auto"/>
        <w:bottom w:val="none" w:sz="0" w:space="0" w:color="auto"/>
        <w:right w:val="none" w:sz="0" w:space="0" w:color="auto"/>
      </w:divBdr>
    </w:div>
    <w:div w:id="1506940562">
      <w:bodyDiv w:val="1"/>
      <w:marLeft w:val="0"/>
      <w:marRight w:val="0"/>
      <w:marTop w:val="0"/>
      <w:marBottom w:val="0"/>
      <w:divBdr>
        <w:top w:val="none" w:sz="0" w:space="0" w:color="auto"/>
        <w:left w:val="none" w:sz="0" w:space="0" w:color="auto"/>
        <w:bottom w:val="none" w:sz="0" w:space="0" w:color="auto"/>
        <w:right w:val="none" w:sz="0" w:space="0" w:color="auto"/>
      </w:divBdr>
    </w:div>
    <w:div w:id="1507093484">
      <w:bodyDiv w:val="1"/>
      <w:marLeft w:val="0"/>
      <w:marRight w:val="0"/>
      <w:marTop w:val="0"/>
      <w:marBottom w:val="0"/>
      <w:divBdr>
        <w:top w:val="none" w:sz="0" w:space="0" w:color="auto"/>
        <w:left w:val="none" w:sz="0" w:space="0" w:color="auto"/>
        <w:bottom w:val="none" w:sz="0" w:space="0" w:color="auto"/>
        <w:right w:val="none" w:sz="0" w:space="0" w:color="auto"/>
      </w:divBdr>
    </w:div>
    <w:div w:id="1599945377">
      <w:bodyDiv w:val="1"/>
      <w:marLeft w:val="0"/>
      <w:marRight w:val="0"/>
      <w:marTop w:val="0"/>
      <w:marBottom w:val="0"/>
      <w:divBdr>
        <w:top w:val="none" w:sz="0" w:space="0" w:color="auto"/>
        <w:left w:val="none" w:sz="0" w:space="0" w:color="auto"/>
        <w:bottom w:val="none" w:sz="0" w:space="0" w:color="auto"/>
        <w:right w:val="none" w:sz="0" w:space="0" w:color="auto"/>
      </w:divBdr>
    </w:div>
    <w:div w:id="1701279619">
      <w:bodyDiv w:val="1"/>
      <w:marLeft w:val="0"/>
      <w:marRight w:val="0"/>
      <w:marTop w:val="0"/>
      <w:marBottom w:val="0"/>
      <w:divBdr>
        <w:top w:val="none" w:sz="0" w:space="0" w:color="auto"/>
        <w:left w:val="none" w:sz="0" w:space="0" w:color="auto"/>
        <w:bottom w:val="none" w:sz="0" w:space="0" w:color="auto"/>
        <w:right w:val="none" w:sz="0" w:space="0" w:color="auto"/>
      </w:divBdr>
    </w:div>
    <w:div w:id="1706130280">
      <w:bodyDiv w:val="1"/>
      <w:marLeft w:val="0"/>
      <w:marRight w:val="0"/>
      <w:marTop w:val="0"/>
      <w:marBottom w:val="0"/>
      <w:divBdr>
        <w:top w:val="none" w:sz="0" w:space="0" w:color="auto"/>
        <w:left w:val="none" w:sz="0" w:space="0" w:color="auto"/>
        <w:bottom w:val="none" w:sz="0" w:space="0" w:color="auto"/>
        <w:right w:val="none" w:sz="0" w:space="0" w:color="auto"/>
      </w:divBdr>
    </w:div>
    <w:div w:id="1736510630">
      <w:bodyDiv w:val="1"/>
      <w:marLeft w:val="0"/>
      <w:marRight w:val="0"/>
      <w:marTop w:val="0"/>
      <w:marBottom w:val="0"/>
      <w:divBdr>
        <w:top w:val="none" w:sz="0" w:space="0" w:color="auto"/>
        <w:left w:val="none" w:sz="0" w:space="0" w:color="auto"/>
        <w:bottom w:val="none" w:sz="0" w:space="0" w:color="auto"/>
        <w:right w:val="none" w:sz="0" w:space="0" w:color="auto"/>
      </w:divBdr>
    </w:div>
    <w:div w:id="1760984429">
      <w:bodyDiv w:val="1"/>
      <w:marLeft w:val="0"/>
      <w:marRight w:val="0"/>
      <w:marTop w:val="0"/>
      <w:marBottom w:val="0"/>
      <w:divBdr>
        <w:top w:val="none" w:sz="0" w:space="0" w:color="auto"/>
        <w:left w:val="none" w:sz="0" w:space="0" w:color="auto"/>
        <w:bottom w:val="none" w:sz="0" w:space="0" w:color="auto"/>
        <w:right w:val="none" w:sz="0" w:space="0" w:color="auto"/>
      </w:divBdr>
    </w:div>
    <w:div w:id="1778987183">
      <w:bodyDiv w:val="1"/>
      <w:marLeft w:val="0"/>
      <w:marRight w:val="0"/>
      <w:marTop w:val="0"/>
      <w:marBottom w:val="0"/>
      <w:divBdr>
        <w:top w:val="none" w:sz="0" w:space="0" w:color="auto"/>
        <w:left w:val="none" w:sz="0" w:space="0" w:color="auto"/>
        <w:bottom w:val="none" w:sz="0" w:space="0" w:color="auto"/>
        <w:right w:val="none" w:sz="0" w:space="0" w:color="auto"/>
      </w:divBdr>
    </w:div>
    <w:div w:id="1780836253">
      <w:bodyDiv w:val="1"/>
      <w:marLeft w:val="0"/>
      <w:marRight w:val="0"/>
      <w:marTop w:val="0"/>
      <w:marBottom w:val="0"/>
      <w:divBdr>
        <w:top w:val="none" w:sz="0" w:space="0" w:color="auto"/>
        <w:left w:val="none" w:sz="0" w:space="0" w:color="auto"/>
        <w:bottom w:val="none" w:sz="0" w:space="0" w:color="auto"/>
        <w:right w:val="none" w:sz="0" w:space="0" w:color="auto"/>
      </w:divBdr>
    </w:div>
    <w:div w:id="1783526436">
      <w:bodyDiv w:val="1"/>
      <w:marLeft w:val="0"/>
      <w:marRight w:val="0"/>
      <w:marTop w:val="0"/>
      <w:marBottom w:val="0"/>
      <w:divBdr>
        <w:top w:val="none" w:sz="0" w:space="0" w:color="auto"/>
        <w:left w:val="none" w:sz="0" w:space="0" w:color="auto"/>
        <w:bottom w:val="none" w:sz="0" w:space="0" w:color="auto"/>
        <w:right w:val="none" w:sz="0" w:space="0" w:color="auto"/>
      </w:divBdr>
    </w:div>
    <w:div w:id="1801923740">
      <w:bodyDiv w:val="1"/>
      <w:marLeft w:val="0"/>
      <w:marRight w:val="0"/>
      <w:marTop w:val="0"/>
      <w:marBottom w:val="0"/>
      <w:divBdr>
        <w:top w:val="none" w:sz="0" w:space="0" w:color="auto"/>
        <w:left w:val="none" w:sz="0" w:space="0" w:color="auto"/>
        <w:bottom w:val="none" w:sz="0" w:space="0" w:color="auto"/>
        <w:right w:val="none" w:sz="0" w:space="0" w:color="auto"/>
      </w:divBdr>
    </w:div>
    <w:div w:id="1837569170">
      <w:bodyDiv w:val="1"/>
      <w:marLeft w:val="0"/>
      <w:marRight w:val="0"/>
      <w:marTop w:val="0"/>
      <w:marBottom w:val="0"/>
      <w:divBdr>
        <w:top w:val="none" w:sz="0" w:space="0" w:color="auto"/>
        <w:left w:val="none" w:sz="0" w:space="0" w:color="auto"/>
        <w:bottom w:val="none" w:sz="0" w:space="0" w:color="auto"/>
        <w:right w:val="none" w:sz="0" w:space="0" w:color="auto"/>
      </w:divBdr>
      <w:divsChild>
        <w:div w:id="603659028">
          <w:marLeft w:val="0"/>
          <w:marRight w:val="0"/>
          <w:marTop w:val="0"/>
          <w:marBottom w:val="240"/>
          <w:divBdr>
            <w:top w:val="none" w:sz="0" w:space="0" w:color="auto"/>
            <w:left w:val="none" w:sz="0" w:space="0" w:color="auto"/>
            <w:bottom w:val="none" w:sz="0" w:space="0" w:color="auto"/>
            <w:right w:val="none" w:sz="0" w:space="0" w:color="auto"/>
          </w:divBdr>
          <w:divsChild>
            <w:div w:id="869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4701">
      <w:bodyDiv w:val="1"/>
      <w:marLeft w:val="0"/>
      <w:marRight w:val="0"/>
      <w:marTop w:val="0"/>
      <w:marBottom w:val="0"/>
      <w:divBdr>
        <w:top w:val="none" w:sz="0" w:space="0" w:color="auto"/>
        <w:left w:val="none" w:sz="0" w:space="0" w:color="auto"/>
        <w:bottom w:val="none" w:sz="0" w:space="0" w:color="auto"/>
        <w:right w:val="none" w:sz="0" w:space="0" w:color="auto"/>
      </w:divBdr>
    </w:div>
    <w:div w:id="1946763271">
      <w:bodyDiv w:val="1"/>
      <w:marLeft w:val="0"/>
      <w:marRight w:val="0"/>
      <w:marTop w:val="0"/>
      <w:marBottom w:val="0"/>
      <w:divBdr>
        <w:top w:val="none" w:sz="0" w:space="0" w:color="auto"/>
        <w:left w:val="none" w:sz="0" w:space="0" w:color="auto"/>
        <w:bottom w:val="none" w:sz="0" w:space="0" w:color="auto"/>
        <w:right w:val="none" w:sz="0" w:space="0" w:color="auto"/>
      </w:divBdr>
    </w:div>
    <w:div w:id="1948274776">
      <w:bodyDiv w:val="1"/>
      <w:marLeft w:val="0"/>
      <w:marRight w:val="0"/>
      <w:marTop w:val="0"/>
      <w:marBottom w:val="0"/>
      <w:divBdr>
        <w:top w:val="none" w:sz="0" w:space="0" w:color="auto"/>
        <w:left w:val="none" w:sz="0" w:space="0" w:color="auto"/>
        <w:bottom w:val="none" w:sz="0" w:space="0" w:color="auto"/>
        <w:right w:val="none" w:sz="0" w:space="0" w:color="auto"/>
      </w:divBdr>
    </w:div>
    <w:div w:id="1964537202">
      <w:bodyDiv w:val="1"/>
      <w:marLeft w:val="0"/>
      <w:marRight w:val="0"/>
      <w:marTop w:val="0"/>
      <w:marBottom w:val="0"/>
      <w:divBdr>
        <w:top w:val="none" w:sz="0" w:space="0" w:color="auto"/>
        <w:left w:val="none" w:sz="0" w:space="0" w:color="auto"/>
        <w:bottom w:val="none" w:sz="0" w:space="0" w:color="auto"/>
        <w:right w:val="none" w:sz="0" w:space="0" w:color="auto"/>
      </w:divBdr>
    </w:div>
    <w:div w:id="2017997094">
      <w:bodyDiv w:val="1"/>
      <w:marLeft w:val="0"/>
      <w:marRight w:val="0"/>
      <w:marTop w:val="0"/>
      <w:marBottom w:val="0"/>
      <w:divBdr>
        <w:top w:val="none" w:sz="0" w:space="0" w:color="auto"/>
        <w:left w:val="none" w:sz="0" w:space="0" w:color="auto"/>
        <w:bottom w:val="none" w:sz="0" w:space="0" w:color="auto"/>
        <w:right w:val="none" w:sz="0" w:space="0" w:color="auto"/>
      </w:divBdr>
    </w:div>
    <w:div w:id="2029289323">
      <w:bodyDiv w:val="1"/>
      <w:marLeft w:val="0"/>
      <w:marRight w:val="0"/>
      <w:marTop w:val="0"/>
      <w:marBottom w:val="0"/>
      <w:divBdr>
        <w:top w:val="none" w:sz="0" w:space="0" w:color="auto"/>
        <w:left w:val="none" w:sz="0" w:space="0" w:color="auto"/>
        <w:bottom w:val="none" w:sz="0" w:space="0" w:color="auto"/>
        <w:right w:val="none" w:sz="0" w:space="0" w:color="auto"/>
      </w:divBdr>
    </w:div>
    <w:div w:id="2063868848">
      <w:bodyDiv w:val="1"/>
      <w:marLeft w:val="0"/>
      <w:marRight w:val="0"/>
      <w:marTop w:val="0"/>
      <w:marBottom w:val="0"/>
      <w:divBdr>
        <w:top w:val="none" w:sz="0" w:space="0" w:color="auto"/>
        <w:left w:val="none" w:sz="0" w:space="0" w:color="auto"/>
        <w:bottom w:val="none" w:sz="0" w:space="0" w:color="auto"/>
        <w:right w:val="none" w:sz="0" w:space="0" w:color="auto"/>
      </w:divBdr>
    </w:div>
    <w:div w:id="2065444744">
      <w:bodyDiv w:val="1"/>
      <w:marLeft w:val="0"/>
      <w:marRight w:val="0"/>
      <w:marTop w:val="0"/>
      <w:marBottom w:val="0"/>
      <w:divBdr>
        <w:top w:val="none" w:sz="0" w:space="0" w:color="auto"/>
        <w:left w:val="none" w:sz="0" w:space="0" w:color="auto"/>
        <w:bottom w:val="none" w:sz="0" w:space="0" w:color="auto"/>
        <w:right w:val="none" w:sz="0" w:space="0" w:color="auto"/>
      </w:divBdr>
    </w:div>
    <w:div w:id="2090804979">
      <w:bodyDiv w:val="1"/>
      <w:marLeft w:val="0"/>
      <w:marRight w:val="0"/>
      <w:marTop w:val="0"/>
      <w:marBottom w:val="0"/>
      <w:divBdr>
        <w:top w:val="none" w:sz="0" w:space="0" w:color="auto"/>
        <w:left w:val="none" w:sz="0" w:space="0" w:color="auto"/>
        <w:bottom w:val="none" w:sz="0" w:space="0" w:color="auto"/>
        <w:right w:val="none" w:sz="0" w:space="0" w:color="auto"/>
      </w:divBdr>
    </w:div>
    <w:div w:id="2112817050">
      <w:bodyDiv w:val="1"/>
      <w:marLeft w:val="0"/>
      <w:marRight w:val="0"/>
      <w:marTop w:val="0"/>
      <w:marBottom w:val="0"/>
      <w:divBdr>
        <w:top w:val="none" w:sz="0" w:space="0" w:color="auto"/>
        <w:left w:val="none" w:sz="0" w:space="0" w:color="auto"/>
        <w:bottom w:val="none" w:sz="0" w:space="0" w:color="auto"/>
        <w:right w:val="none" w:sz="0" w:space="0" w:color="auto"/>
      </w:divBdr>
    </w:div>
    <w:div w:id="21332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ini14.nb@gmail.com" TargetMode="External"/><Relationship Id="rId13" Type="http://schemas.openxmlformats.org/officeDocument/2006/relationships/hyperlink" Target="https://pcw.gov.p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cw.gov.ph" TargetMode="External"/><Relationship Id="rId17" Type="http://schemas.openxmlformats.org/officeDocument/2006/relationships/hyperlink" Target="https://pcw.gov.ph/hgdg" TargetMode="External"/><Relationship Id="rId2" Type="http://schemas.openxmlformats.org/officeDocument/2006/relationships/numbering" Target="numbering.xml"/><Relationship Id="rId16" Type="http://schemas.openxmlformats.org/officeDocument/2006/relationships/hyperlink" Target="https://pcw.gov.p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https://www.pcw.gov.ph" TargetMode="External"/><Relationship Id="rId5" Type="http://schemas.openxmlformats.org/officeDocument/2006/relationships/webSettings" Target="webSettings.xml"/><Relationship Id="rId15" Type="http://schemas.openxmlformats.org/officeDocument/2006/relationships/hyperlink" Target="https://pcw.gov.ph" TargetMode="External"/><Relationship Id="rId10" Type="http://schemas.openxmlformats.org/officeDocument/2006/relationships/hyperlink" Target="https://pcw.gov.p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cw.gov.ph/republic-act-7192/" TargetMode="External"/><Relationship Id="rId14" Type="http://schemas.openxmlformats.org/officeDocument/2006/relationships/hyperlink" Target="https://pcw.gov.p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D7401-AF3F-4349-9CAA-4EDD6C3D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8928</Words>
  <Characters>50893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Abits</dc:creator>
  <cp:keywords/>
  <dc:description/>
  <cp:lastModifiedBy>Marc G</cp:lastModifiedBy>
  <cp:revision>2</cp:revision>
  <cp:lastPrinted>2026-05-05T13:00:00Z</cp:lastPrinted>
  <dcterms:created xsi:type="dcterms:W3CDTF">2026-05-21T10:44:00Z</dcterms:created>
  <dcterms:modified xsi:type="dcterms:W3CDTF">2026-05-21T10:44:00Z</dcterms:modified>
</cp:coreProperties>
</file>